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ED722" w14:textId="39AECF9A" w:rsidR="00737CE2" w:rsidRDefault="00657450" w:rsidP="00737CE2">
      <w:pPr>
        <w:ind w:left="2160" w:hanging="2160"/>
      </w:pPr>
      <w:bookmarkStart w:id="0" w:name="_GoBack"/>
      <w:bookmarkEnd w:id="0"/>
      <w:r w:rsidRPr="009E4426">
        <w:rPr>
          <w:noProof/>
          <w:lang w:val="en-GB" w:eastAsia="en-GB"/>
        </w:rPr>
        <mc:AlternateContent>
          <mc:Choice Requires="wpg">
            <w:drawing>
              <wp:anchor distT="0" distB="0" distL="114300" distR="114300" simplePos="0" relativeHeight="251659264" behindDoc="1" locked="0" layoutInCell="1" allowOverlap="1" wp14:anchorId="025F1A7F" wp14:editId="57D9F4C1">
                <wp:simplePos x="0" y="0"/>
                <wp:positionH relativeFrom="page">
                  <wp:posOffset>62865</wp:posOffset>
                </wp:positionH>
                <wp:positionV relativeFrom="page">
                  <wp:posOffset>99695</wp:posOffset>
                </wp:positionV>
                <wp:extent cx="7410450" cy="10515600"/>
                <wp:effectExtent l="0" t="0" r="0" b="0"/>
                <wp:wrapNone/>
                <wp:docPr id="48" name="Group 48"/>
                <wp:cNvGraphicFramePr/>
                <a:graphic xmlns:a="http://schemas.openxmlformats.org/drawingml/2006/main">
                  <a:graphicData uri="http://schemas.microsoft.com/office/word/2010/wordprocessingGroup">
                    <wpg:wgp>
                      <wpg:cNvGrpSpPr/>
                      <wpg:grpSpPr>
                        <a:xfrm>
                          <a:off x="0" y="0"/>
                          <a:ext cx="7410450" cy="10515600"/>
                          <a:chOff x="0" y="0"/>
                          <a:chExt cx="6858000" cy="9144000"/>
                        </a:xfrm>
                      </wpg:grpSpPr>
                      <wpg:grpSp>
                        <wpg:cNvPr id="49" name="Group 49"/>
                        <wpg:cNvGrpSpPr/>
                        <wpg:grpSpPr>
                          <a:xfrm>
                            <a:off x="0" y="0"/>
                            <a:ext cx="6858000" cy="9144000"/>
                            <a:chOff x="0" y="0"/>
                            <a:chExt cx="6858000" cy="9144000"/>
                          </a:xfrm>
                        </wpg:grpSpPr>
                        <wps:wsp>
                          <wps:cNvPr id="54" name="Rectangle 54"/>
                          <wps:cNvSpPr/>
                          <wps:spPr>
                            <a:xfrm>
                              <a:off x="0" y="0"/>
                              <a:ext cx="6858000" cy="9144000"/>
                            </a:xfrm>
                            <a:prstGeom prst="rect">
                              <a:avLst/>
                            </a:prstGeom>
                            <a:gradFill>
                              <a:gsLst>
                                <a:gs pos="10000">
                                  <a:schemeClr val="accent1"/>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7DA6EF0A" w14:textId="77777777" w:rsidR="00BC3377" w:rsidRDefault="00BC3377" w:rsidP="00657450">
                                <w:pPr>
                                  <w:pStyle w:val="NoSpacing"/>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9518" y="4838700"/>
                            <a:ext cx="6843395" cy="3789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EndPr/>
                              <w:sdtContent>
                                <w:p w14:paraId="082D3DB6" w14:textId="46B36127" w:rsidR="00BC3377" w:rsidRDefault="00512071" w:rsidP="00657450">
                                  <w:pPr>
                                    <w:pStyle w:val="NoSpacing"/>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caps/>
                                      <w:color w:val="FFFFFF" w:themeColor="background1"/>
                                      <w:sz w:val="64"/>
                                      <w:szCs w:val="64"/>
                                    </w:rPr>
                                    <w:t>Tasmanian Mining Industry Workforce Profile and Emerging Challenges</w:t>
                                  </w:r>
                                </w:p>
                              </w:sdtContent>
                            </w:sdt>
                            <w:p w14:paraId="4AA511F5" w14:textId="4459D82A" w:rsidR="00BC3377" w:rsidRPr="007A0634" w:rsidRDefault="00ED4593" w:rsidP="00657450">
                              <w:pPr>
                                <w:pStyle w:val="NoSpacing"/>
                                <w:spacing w:before="120"/>
                                <w:rPr>
                                  <w:color w:val="ED7D31" w:themeColor="accent2"/>
                                  <w:sz w:val="36"/>
                                  <w:szCs w:val="36"/>
                                </w:rPr>
                              </w:pPr>
                              <w:sdt>
                                <w:sdtPr>
                                  <w:rPr>
                                    <w:color w:val="ED7D31" w:themeColor="accent2"/>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EndPr/>
                                <w:sdtContent>
                                  <w:r w:rsidR="00BC3377">
                                    <w:rPr>
                                      <w:color w:val="ED7D31" w:themeColor="accent2"/>
                                      <w:sz w:val="36"/>
                                      <w:szCs w:val="36"/>
                                    </w:rPr>
                                    <w:t>Companion Document</w:t>
                                  </w:r>
                                </w:sdtContent>
                              </w:sdt>
                              <w:r w:rsidR="00BC3377">
                                <w:rPr>
                                  <w:color w:val="ED7D31" w:themeColor="accent2"/>
                                  <w:sz w:val="36"/>
                                  <w:szCs w:val="36"/>
                                </w:rPr>
                                <w:t xml:space="preserve"> to Final Report</w:t>
                              </w:r>
                            </w:p>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25F1A7F" id="Group 48" o:spid="_x0000_s1026" style="position:absolute;left:0;text-align:left;margin-left:4.95pt;margin-top:7.85pt;width:583.5pt;height:828pt;z-index:-251657216;mso-position-horizontal-relative:page;mso-position-vertical-relative:page"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">
                <v:group id="Group 49" o:spid="_x0000_s1027"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54" o:spid="_x0000_s1028" style="position:absolute;width:68580;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" fillcolor="#5b9bd5 [3204]" stroked="f" strokeweight="1pt">
                    <v:fill color2="#3d4b5f [2882]" angle="348" colors="0 #5b9bd5;6554f #5b9bd5" focus="100%" type="gradient"/>
                    <v:textbox inset="54pt,54pt,1in,5in">
                      <w:txbxContent>
                        <w:p w14:paraId="7DA6EF0A" w14:textId="77777777" w:rsidR="00BC3377" w:rsidRDefault="00BC3377" w:rsidP="00657450">
                          <w:pPr>
                            <w:pStyle w:val="NoSpacing"/>
                            <w:rPr>
                              <w:color w:val="FFFFFF" w:themeColor="background1"/>
                              <w:sz w:val="48"/>
                              <w:szCs w:val="48"/>
                            </w:rPr>
                          </w:pPr>
                        </w:p>
                      </w:txbxContent>
                    </v:textbox>
                  </v:rect>
                  <v:group id="Group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95;top:48387;width:68434;height:3789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inset="54pt,0,1in,0">
                    <w:txbxContent>
                      <w:sdt>
                        <w:sdtPr>
                          <w:rPr>
                            <w:rFonts w:asciiTheme="majorHAnsi" w:eastAsiaTheme="majorEastAsia" w:hAnsiTheme="majorHAnsi"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EndPr/>
                        <w:sdtContent>
                          <w:p w14:paraId="082D3DB6" w14:textId="46B36127" w:rsidR="00BC3377" w:rsidRDefault="00512071" w:rsidP="00657450">
                            <w:pPr>
                              <w:pStyle w:val="NoSpacing"/>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caps/>
                                <w:color w:val="FFFFFF" w:themeColor="background1"/>
                                <w:sz w:val="64"/>
                                <w:szCs w:val="64"/>
                              </w:rPr>
                              <w:t>Tasmanian Mining Industry Workforce Profile and Emerging Challenges</w:t>
                            </w:r>
                          </w:p>
                        </w:sdtContent>
                      </w:sdt>
                      <w:p w14:paraId="4AA511F5" w14:textId="4459D82A" w:rsidR="00BC3377" w:rsidRPr="007A0634" w:rsidRDefault="00ED4593" w:rsidP="00657450">
                        <w:pPr>
                          <w:pStyle w:val="NoSpacing"/>
                          <w:spacing w:before="120"/>
                          <w:rPr>
                            <w:color w:val="ED7D31" w:themeColor="accent2"/>
                            <w:sz w:val="36"/>
                            <w:szCs w:val="36"/>
                          </w:rPr>
                        </w:pPr>
                        <w:sdt>
                          <w:sdtPr>
                            <w:rPr>
                              <w:color w:val="ED7D31" w:themeColor="accent2"/>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EndPr/>
                          <w:sdtContent>
                            <w:r w:rsidR="00BC3377">
                              <w:rPr>
                                <w:color w:val="ED7D31" w:themeColor="accent2"/>
                                <w:sz w:val="36"/>
                                <w:szCs w:val="36"/>
                              </w:rPr>
                              <w:t>Companion Document</w:t>
                            </w:r>
                          </w:sdtContent>
                        </w:sdt>
                        <w:r w:rsidR="00BC3377">
                          <w:rPr>
                            <w:color w:val="ED7D31" w:themeColor="accent2"/>
                            <w:sz w:val="36"/>
                            <w:szCs w:val="36"/>
                          </w:rPr>
                          <w:t xml:space="preserve"> to Final Report</w:t>
                        </w:r>
                      </w:p>
                    </w:txbxContent>
                  </v:textbox>
                </v:shape>
                <w10:wrap anchorx="page" anchory="page"/>
              </v:group>
            </w:pict>
          </mc:Fallback>
        </mc:AlternateContent>
      </w:r>
    </w:p>
    <w:sdt>
      <w:sdtPr>
        <w:id w:val="-1720579966"/>
        <w:docPartObj>
          <w:docPartGallery w:val="Cover Pages"/>
          <w:docPartUnique/>
        </w:docPartObj>
      </w:sdtPr>
      <w:sdtEndPr>
        <w:rPr>
          <w:b/>
          <w:sz w:val="44"/>
          <w:szCs w:val="44"/>
        </w:rPr>
      </w:sdtEndPr>
      <w:sdtContent>
        <w:p w14:paraId="21C3229C" w14:textId="36DB8F00" w:rsidR="00166D4E" w:rsidRPr="00441621" w:rsidRDefault="00166D4E" w:rsidP="00737CE2">
          <w:pPr>
            <w:ind w:left="2160" w:hanging="2160"/>
          </w:pPr>
        </w:p>
        <w:p w14:paraId="561384A0" w14:textId="77777777" w:rsidR="00166D4E" w:rsidRPr="00441621" w:rsidRDefault="00166D4E" w:rsidP="00166D4E"/>
        <w:p w14:paraId="1F072C94" w14:textId="10EADCAC" w:rsidR="00657450" w:rsidRPr="00657450" w:rsidRDefault="00ED4593" w:rsidP="00657450">
          <w:pPr>
            <w:spacing w:before="0" w:after="0"/>
            <w:rPr>
              <w:rFonts w:eastAsiaTheme="majorEastAsia" w:cs="Arial"/>
              <w:b/>
              <w:color w:val="122250"/>
              <w:spacing w:val="5"/>
              <w:kern w:val="28"/>
              <w:sz w:val="44"/>
              <w:szCs w:val="44"/>
            </w:rPr>
            <w:sectPr w:rsidR="00657450" w:rsidRPr="00657450" w:rsidSect="000A047C">
              <w:headerReference w:type="even" r:id="rId8"/>
              <w:headerReference w:type="default" r:id="rId9"/>
              <w:footerReference w:type="default" r:id="rId10"/>
              <w:headerReference w:type="first" r:id="rId11"/>
              <w:footerReference w:type="first" r:id="rId12"/>
              <w:pgSz w:w="11899" w:h="16838"/>
              <w:pgMar w:top="1418" w:right="1134" w:bottom="567" w:left="1134" w:header="567" w:footer="851" w:gutter="0"/>
              <w:pgNumType w:fmt="lowerRoman"/>
              <w:cols w:space="708"/>
              <w:titlePg/>
              <w:docGrid w:linePitch="299"/>
            </w:sectPr>
          </w:pPr>
        </w:p>
      </w:sdtContent>
    </w:sdt>
    <w:bookmarkStart w:id="1" w:name="_Toc216585869" w:displacedByCustomXml="prev"/>
    <w:bookmarkStart w:id="2" w:name="_Toc216585782" w:displacedByCustomXml="prev"/>
    <w:bookmarkStart w:id="3" w:name="_Toc216585741" w:displacedByCustomXml="prev"/>
    <w:bookmarkStart w:id="4" w:name="_Toc216582505" w:displacedByCustomXml="prev"/>
    <w:bookmarkStart w:id="5" w:name="_Toc216581866" w:displacedByCustomXml="prev"/>
    <w:p w14:paraId="52D64F85" w14:textId="1FC86A92" w:rsidR="00DA4348" w:rsidRPr="00825D5E" w:rsidRDefault="00DA4348" w:rsidP="00C079CE">
      <w:pPr>
        <w:pStyle w:val="DocumentControlHeading1"/>
      </w:pPr>
      <w:bookmarkStart w:id="6" w:name="_Toc22291445"/>
      <w:bookmarkStart w:id="7" w:name="_Toc22291582"/>
      <w:bookmarkStart w:id="8" w:name="_Toc23836311"/>
      <w:bookmarkEnd w:id="5"/>
      <w:bookmarkEnd w:id="4"/>
      <w:bookmarkEnd w:id="3"/>
      <w:bookmarkEnd w:id="2"/>
      <w:bookmarkEnd w:id="1"/>
      <w:r w:rsidRPr="00C079CE">
        <w:lastRenderedPageBreak/>
        <w:t>Acknowledgements</w:t>
      </w:r>
      <w:r w:rsidR="00657450" w:rsidRPr="00C079CE">
        <w:t xml:space="preserve"> and Disclaimer</w:t>
      </w:r>
      <w:bookmarkEnd w:id="6"/>
      <w:bookmarkEnd w:id="7"/>
      <w:bookmarkEnd w:id="8"/>
    </w:p>
    <w:p w14:paraId="1D1FB0C1" w14:textId="700366A7" w:rsidR="001A3C9C" w:rsidRPr="00825D5E" w:rsidRDefault="001A3C9C" w:rsidP="00C079CE">
      <w:r w:rsidRPr="00825D5E">
        <w:t xml:space="preserve">We would like to acknowledge the support and funding from Skills Tasmania, a Division of the Department of State Growth, in the development of the Plan and this </w:t>
      </w:r>
      <w:r w:rsidR="005F3456" w:rsidRPr="00825D5E">
        <w:t>Workforce Profile</w:t>
      </w:r>
      <w:r w:rsidRPr="00825D5E">
        <w:t>.</w:t>
      </w:r>
    </w:p>
    <w:p w14:paraId="6998C5C6" w14:textId="01AF235F" w:rsidR="00352FF7" w:rsidRDefault="001C5218" w:rsidP="00C079CE">
      <w:r w:rsidRPr="00825D5E">
        <w:t xml:space="preserve">We would like to thank those agencies, organisations and bodies that participated in the surveys and consultations.  In particular, we would like to thank the Steering Committee </w:t>
      </w:r>
      <w:r w:rsidR="005F3456" w:rsidRPr="00825D5E">
        <w:t>members for their</w:t>
      </w:r>
      <w:r w:rsidRPr="00825D5E">
        <w:t xml:space="preserve"> guidance and </w:t>
      </w:r>
      <w:r w:rsidR="00825D5E" w:rsidRPr="00825D5E">
        <w:t xml:space="preserve">the Tasmanian Minerals, Manufacturing and Energy Council for their support in developing the </w:t>
      </w:r>
      <w:r w:rsidR="00825D5E">
        <w:t xml:space="preserve">Workforce </w:t>
      </w:r>
      <w:r w:rsidR="00825D5E" w:rsidRPr="00825D5E">
        <w:t>Profile.</w:t>
      </w:r>
    </w:p>
    <w:p w14:paraId="2EAF9685" w14:textId="77777777" w:rsidR="00657450" w:rsidRPr="00825D5E" w:rsidRDefault="00657450" w:rsidP="00C079CE">
      <w:r w:rsidRPr="001C5218">
        <w:t>The in</w:t>
      </w:r>
      <w:r>
        <w:t xml:space="preserve">formation contained in this Workforce Profile </w:t>
      </w:r>
      <w:r w:rsidRPr="001C5218">
        <w:t xml:space="preserve">has been sourced from desktop research, </w:t>
      </w:r>
      <w:r w:rsidRPr="00825D5E">
        <w:t>consultations, publications and websites.  While all due care has been taken in compiling this document, Stenning &amp; Associates Pty Ltd and its subcontractors accept no responsibility for the accuracy or completeness of information gained from these sources and recommends that readers exercise their own skill and care with respect to its use.  We will not be responsible for any loss, however arising, from the use of, or reliance on this information.</w:t>
      </w:r>
    </w:p>
    <w:p w14:paraId="36EC9F7F" w14:textId="5EC199C4" w:rsidR="00657450" w:rsidRDefault="00657450" w:rsidP="002016B9">
      <w:r w:rsidRPr="00657450">
        <w:rPr>
          <w:noProof/>
        </w:rPr>
        <w:drawing>
          <wp:anchor distT="0" distB="0" distL="114300" distR="114300" simplePos="0" relativeHeight="251662336" behindDoc="1" locked="0" layoutInCell="1" allowOverlap="1" wp14:anchorId="112BF7BC" wp14:editId="75376919">
            <wp:simplePos x="0" y="0"/>
            <wp:positionH relativeFrom="column">
              <wp:posOffset>2590800</wp:posOffset>
            </wp:positionH>
            <wp:positionV relativeFrom="paragraph">
              <wp:posOffset>4895215</wp:posOffset>
            </wp:positionV>
            <wp:extent cx="3562350" cy="506095"/>
            <wp:effectExtent l="0" t="0" r="0" b="8255"/>
            <wp:wrapTight wrapText="bothSides">
              <wp:wrapPolygon edited="0">
                <wp:start x="0" y="0"/>
                <wp:lineTo x="0" y="21139"/>
                <wp:lineTo x="21484" y="21139"/>
                <wp:lineTo x="21484" y="0"/>
                <wp:lineTo x="0" y="0"/>
              </wp:wrapPolygon>
            </wp:wrapTight>
            <wp:docPr id="13" name="Picture 13" descr="TWL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L_Head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62350" cy="5060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57450">
        <w:rPr>
          <w:noProof/>
        </w:rPr>
        <w:drawing>
          <wp:anchor distT="0" distB="0" distL="114300" distR="114300" simplePos="0" relativeHeight="251661312" behindDoc="1" locked="0" layoutInCell="1" allowOverlap="1" wp14:anchorId="1F48E6BE" wp14:editId="30153082">
            <wp:simplePos x="0" y="0"/>
            <wp:positionH relativeFrom="column">
              <wp:posOffset>9525</wp:posOffset>
            </wp:positionH>
            <wp:positionV relativeFrom="paragraph">
              <wp:posOffset>4676140</wp:posOffset>
            </wp:positionV>
            <wp:extent cx="2084070" cy="866775"/>
            <wp:effectExtent l="0" t="0" r="0" b="9525"/>
            <wp:wrapTight wrapText="bothSides">
              <wp:wrapPolygon edited="0">
                <wp:start x="0" y="0"/>
                <wp:lineTo x="0" y="21363"/>
                <wp:lineTo x="21324" y="21363"/>
                <wp:lineTo x="21324" y="0"/>
                <wp:lineTo x="0" y="0"/>
              </wp:wrapPolygon>
            </wp:wrapTight>
            <wp:docPr id="9" name="Picture 9" descr="70816 Stenning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0816 Stenning logo 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8407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Start w:id="9" w:name="_Toc22291583" w:displacedByCustomXml="next"/>
    <w:bookmarkStart w:id="10" w:name="_Toc22291446" w:displacedByCustomXml="next"/>
    <w:bookmarkStart w:id="11" w:name="_Toc23836312" w:displacedByCustomXml="next"/>
    <w:sdt>
      <w:sdtPr>
        <w:rPr>
          <w:rFonts w:eastAsia="Cambria" w:cs="Times New Roman"/>
          <w:b w:val="0"/>
          <w:kern w:val="0"/>
          <w:sz w:val="22"/>
          <w:szCs w:val="22"/>
        </w:rPr>
        <w:id w:val="-1417322391"/>
        <w:docPartObj>
          <w:docPartGallery w:val="Table of Contents"/>
          <w:docPartUnique/>
        </w:docPartObj>
      </w:sdtPr>
      <w:sdtEndPr>
        <w:rPr>
          <w:bCs/>
          <w:noProof/>
        </w:rPr>
      </w:sdtEndPr>
      <w:sdtContent>
        <w:p w14:paraId="24B36A90" w14:textId="77777777" w:rsidR="00657450" w:rsidRPr="00441621" w:rsidRDefault="00657450" w:rsidP="00C079CE">
          <w:pPr>
            <w:pStyle w:val="DocumentControlHeading1"/>
          </w:pPr>
          <w:r w:rsidRPr="00441621">
            <w:t>Contents</w:t>
          </w:r>
          <w:bookmarkEnd w:id="11"/>
          <w:bookmarkEnd w:id="10"/>
          <w:bookmarkEnd w:id="9"/>
        </w:p>
        <w:p w14:paraId="366AD1CB" w14:textId="078C2175" w:rsidR="00843511" w:rsidRDefault="00657450">
          <w:pPr>
            <w:pStyle w:val="TOC1"/>
            <w:rPr>
              <w:rFonts w:asciiTheme="minorHAnsi" w:eastAsiaTheme="minorEastAsia" w:hAnsiTheme="minorHAnsi" w:cstheme="minorBidi"/>
              <w:noProof/>
              <w:lang w:eastAsia="en-AU"/>
            </w:rPr>
          </w:pPr>
          <w:r w:rsidRPr="00441621">
            <w:fldChar w:fldCharType="begin"/>
          </w:r>
          <w:r w:rsidRPr="00441621">
            <w:instrText xml:space="preserve"> TOC \o "1-3" \h \z \u </w:instrText>
          </w:r>
          <w:r w:rsidRPr="00441621">
            <w:fldChar w:fldCharType="separate"/>
          </w:r>
          <w:hyperlink w:anchor="_Toc23836313" w:history="1">
            <w:r w:rsidR="00843511" w:rsidRPr="00AC1978">
              <w:rPr>
                <w:rStyle w:val="Hyperlink"/>
                <w:noProof/>
              </w:rPr>
              <w:t>Executive Summary</w:t>
            </w:r>
            <w:r w:rsidR="00843511">
              <w:rPr>
                <w:noProof/>
                <w:webHidden/>
              </w:rPr>
              <w:tab/>
            </w:r>
            <w:r w:rsidR="00843511">
              <w:rPr>
                <w:noProof/>
                <w:webHidden/>
              </w:rPr>
              <w:fldChar w:fldCharType="begin"/>
            </w:r>
            <w:r w:rsidR="00843511">
              <w:rPr>
                <w:noProof/>
                <w:webHidden/>
              </w:rPr>
              <w:instrText xml:space="preserve"> PAGEREF _Toc23836313 \h </w:instrText>
            </w:r>
            <w:r w:rsidR="00843511">
              <w:rPr>
                <w:noProof/>
                <w:webHidden/>
              </w:rPr>
            </w:r>
            <w:r w:rsidR="00843511">
              <w:rPr>
                <w:noProof/>
                <w:webHidden/>
              </w:rPr>
              <w:fldChar w:fldCharType="separate"/>
            </w:r>
            <w:r w:rsidR="00ED4593">
              <w:rPr>
                <w:noProof/>
                <w:webHidden/>
              </w:rPr>
              <w:t>iii</w:t>
            </w:r>
            <w:r w:rsidR="00843511">
              <w:rPr>
                <w:noProof/>
                <w:webHidden/>
              </w:rPr>
              <w:fldChar w:fldCharType="end"/>
            </w:r>
          </w:hyperlink>
        </w:p>
        <w:p w14:paraId="3AFF1CEE" w14:textId="730B01C1" w:rsidR="00843511" w:rsidRDefault="00ED4593">
          <w:pPr>
            <w:pStyle w:val="TOC1"/>
            <w:rPr>
              <w:rFonts w:asciiTheme="minorHAnsi" w:eastAsiaTheme="minorEastAsia" w:hAnsiTheme="minorHAnsi" w:cstheme="minorBidi"/>
              <w:noProof/>
              <w:lang w:eastAsia="en-AU"/>
            </w:rPr>
          </w:pPr>
          <w:hyperlink w:anchor="_Toc23836314" w:history="1">
            <w:r w:rsidR="00843511" w:rsidRPr="00AC1978">
              <w:rPr>
                <w:rStyle w:val="Hyperlink"/>
                <w:noProof/>
              </w:rPr>
              <w:t>1</w:t>
            </w:r>
            <w:r w:rsidR="00843511">
              <w:rPr>
                <w:rFonts w:asciiTheme="minorHAnsi" w:eastAsiaTheme="minorEastAsia" w:hAnsiTheme="minorHAnsi" w:cstheme="minorBidi"/>
                <w:noProof/>
                <w:lang w:eastAsia="en-AU"/>
              </w:rPr>
              <w:tab/>
            </w:r>
            <w:r w:rsidR="00843511" w:rsidRPr="00AC1978">
              <w:rPr>
                <w:rStyle w:val="Hyperlink"/>
                <w:noProof/>
              </w:rPr>
              <w:t>Purpose</w:t>
            </w:r>
            <w:r w:rsidR="00843511">
              <w:rPr>
                <w:noProof/>
                <w:webHidden/>
              </w:rPr>
              <w:tab/>
            </w:r>
            <w:r w:rsidR="00843511">
              <w:rPr>
                <w:noProof/>
                <w:webHidden/>
              </w:rPr>
              <w:fldChar w:fldCharType="begin"/>
            </w:r>
            <w:r w:rsidR="00843511">
              <w:rPr>
                <w:noProof/>
                <w:webHidden/>
              </w:rPr>
              <w:instrText xml:space="preserve"> PAGEREF _Toc23836314 \h </w:instrText>
            </w:r>
            <w:r w:rsidR="00843511">
              <w:rPr>
                <w:noProof/>
                <w:webHidden/>
              </w:rPr>
            </w:r>
            <w:r w:rsidR="00843511">
              <w:rPr>
                <w:noProof/>
                <w:webHidden/>
              </w:rPr>
              <w:fldChar w:fldCharType="separate"/>
            </w:r>
            <w:r>
              <w:rPr>
                <w:noProof/>
                <w:webHidden/>
              </w:rPr>
              <w:t>1</w:t>
            </w:r>
            <w:r w:rsidR="00843511">
              <w:rPr>
                <w:noProof/>
                <w:webHidden/>
              </w:rPr>
              <w:fldChar w:fldCharType="end"/>
            </w:r>
          </w:hyperlink>
        </w:p>
        <w:p w14:paraId="6805BB89" w14:textId="64971BED" w:rsidR="00843511" w:rsidRDefault="00ED4593">
          <w:pPr>
            <w:pStyle w:val="TOC2"/>
            <w:tabs>
              <w:tab w:val="left" w:pos="880"/>
              <w:tab w:val="right" w:leader="dot" w:pos="9621"/>
            </w:tabs>
            <w:rPr>
              <w:rFonts w:asciiTheme="minorHAnsi" w:eastAsiaTheme="minorEastAsia" w:hAnsiTheme="minorHAnsi" w:cstheme="minorBidi"/>
              <w:noProof/>
              <w:lang w:eastAsia="en-AU"/>
            </w:rPr>
          </w:pPr>
          <w:hyperlink w:anchor="_Toc23836315" w:history="1">
            <w:r w:rsidR="00843511" w:rsidRPr="00AC1978">
              <w:rPr>
                <w:rStyle w:val="Hyperlink"/>
                <w:noProof/>
              </w:rPr>
              <w:t>1.1</w:t>
            </w:r>
            <w:r w:rsidR="00843511">
              <w:rPr>
                <w:rFonts w:asciiTheme="minorHAnsi" w:eastAsiaTheme="minorEastAsia" w:hAnsiTheme="minorHAnsi" w:cstheme="minorBidi"/>
                <w:noProof/>
                <w:lang w:eastAsia="en-AU"/>
              </w:rPr>
              <w:tab/>
            </w:r>
            <w:r w:rsidR="00843511" w:rsidRPr="00AC1978">
              <w:rPr>
                <w:rStyle w:val="Hyperlink"/>
                <w:noProof/>
              </w:rPr>
              <w:t>Methodology</w:t>
            </w:r>
            <w:r w:rsidR="00843511">
              <w:rPr>
                <w:noProof/>
                <w:webHidden/>
              </w:rPr>
              <w:tab/>
            </w:r>
            <w:r w:rsidR="00843511">
              <w:rPr>
                <w:noProof/>
                <w:webHidden/>
              </w:rPr>
              <w:fldChar w:fldCharType="begin"/>
            </w:r>
            <w:r w:rsidR="00843511">
              <w:rPr>
                <w:noProof/>
                <w:webHidden/>
              </w:rPr>
              <w:instrText xml:space="preserve"> PAGEREF _Toc23836315 \h </w:instrText>
            </w:r>
            <w:r w:rsidR="00843511">
              <w:rPr>
                <w:noProof/>
                <w:webHidden/>
              </w:rPr>
            </w:r>
            <w:r w:rsidR="00843511">
              <w:rPr>
                <w:noProof/>
                <w:webHidden/>
              </w:rPr>
              <w:fldChar w:fldCharType="separate"/>
            </w:r>
            <w:r>
              <w:rPr>
                <w:noProof/>
                <w:webHidden/>
              </w:rPr>
              <w:t>1</w:t>
            </w:r>
            <w:r w:rsidR="00843511">
              <w:rPr>
                <w:noProof/>
                <w:webHidden/>
              </w:rPr>
              <w:fldChar w:fldCharType="end"/>
            </w:r>
          </w:hyperlink>
        </w:p>
        <w:p w14:paraId="3EF8783F" w14:textId="5C70B353" w:rsidR="00843511" w:rsidRDefault="00ED4593">
          <w:pPr>
            <w:pStyle w:val="TOC1"/>
            <w:rPr>
              <w:rFonts w:asciiTheme="minorHAnsi" w:eastAsiaTheme="minorEastAsia" w:hAnsiTheme="minorHAnsi" w:cstheme="minorBidi"/>
              <w:noProof/>
              <w:lang w:eastAsia="en-AU"/>
            </w:rPr>
          </w:pPr>
          <w:hyperlink w:anchor="_Toc23836316" w:history="1">
            <w:r w:rsidR="00843511" w:rsidRPr="00AC1978">
              <w:rPr>
                <w:rStyle w:val="Hyperlink"/>
                <w:noProof/>
              </w:rPr>
              <w:t>2</w:t>
            </w:r>
            <w:r w:rsidR="00843511">
              <w:rPr>
                <w:rFonts w:asciiTheme="minorHAnsi" w:eastAsiaTheme="minorEastAsia" w:hAnsiTheme="minorHAnsi" w:cstheme="minorBidi"/>
                <w:noProof/>
                <w:lang w:eastAsia="en-AU"/>
              </w:rPr>
              <w:tab/>
            </w:r>
            <w:r w:rsidR="00843511" w:rsidRPr="00AC1978">
              <w:rPr>
                <w:rStyle w:val="Hyperlink"/>
                <w:noProof/>
              </w:rPr>
              <w:t>The Tasmanian Mining Industry</w:t>
            </w:r>
            <w:r w:rsidR="00843511">
              <w:rPr>
                <w:noProof/>
                <w:webHidden/>
              </w:rPr>
              <w:tab/>
            </w:r>
            <w:r w:rsidR="00843511">
              <w:rPr>
                <w:noProof/>
                <w:webHidden/>
              </w:rPr>
              <w:fldChar w:fldCharType="begin"/>
            </w:r>
            <w:r w:rsidR="00843511">
              <w:rPr>
                <w:noProof/>
                <w:webHidden/>
              </w:rPr>
              <w:instrText xml:space="preserve"> PAGEREF _Toc23836316 \h </w:instrText>
            </w:r>
            <w:r w:rsidR="00843511">
              <w:rPr>
                <w:noProof/>
                <w:webHidden/>
              </w:rPr>
            </w:r>
            <w:r w:rsidR="00843511">
              <w:rPr>
                <w:noProof/>
                <w:webHidden/>
              </w:rPr>
              <w:fldChar w:fldCharType="separate"/>
            </w:r>
            <w:r>
              <w:rPr>
                <w:noProof/>
                <w:webHidden/>
              </w:rPr>
              <w:t>1</w:t>
            </w:r>
            <w:r w:rsidR="00843511">
              <w:rPr>
                <w:noProof/>
                <w:webHidden/>
              </w:rPr>
              <w:fldChar w:fldCharType="end"/>
            </w:r>
          </w:hyperlink>
        </w:p>
        <w:p w14:paraId="5D29DDEE" w14:textId="0EB899F3" w:rsidR="00843511" w:rsidRDefault="00ED4593">
          <w:pPr>
            <w:pStyle w:val="TOC2"/>
            <w:tabs>
              <w:tab w:val="left" w:pos="880"/>
              <w:tab w:val="right" w:leader="dot" w:pos="9621"/>
            </w:tabs>
            <w:rPr>
              <w:rFonts w:asciiTheme="minorHAnsi" w:eastAsiaTheme="minorEastAsia" w:hAnsiTheme="minorHAnsi" w:cstheme="minorBidi"/>
              <w:noProof/>
              <w:lang w:eastAsia="en-AU"/>
            </w:rPr>
          </w:pPr>
          <w:hyperlink w:anchor="_Toc23836317" w:history="1">
            <w:r w:rsidR="00843511" w:rsidRPr="00AC1978">
              <w:rPr>
                <w:rStyle w:val="Hyperlink"/>
                <w:noProof/>
              </w:rPr>
              <w:t>2.1</w:t>
            </w:r>
            <w:r w:rsidR="00843511">
              <w:rPr>
                <w:rFonts w:asciiTheme="minorHAnsi" w:eastAsiaTheme="minorEastAsia" w:hAnsiTheme="minorHAnsi" w:cstheme="minorBidi"/>
                <w:noProof/>
                <w:lang w:eastAsia="en-AU"/>
              </w:rPr>
              <w:tab/>
            </w:r>
            <w:r w:rsidR="00843511" w:rsidRPr="00AC1978">
              <w:rPr>
                <w:rStyle w:val="Hyperlink"/>
                <w:noProof/>
              </w:rPr>
              <w:t>Mining Companies</w:t>
            </w:r>
            <w:r w:rsidR="00843511">
              <w:rPr>
                <w:noProof/>
                <w:webHidden/>
              </w:rPr>
              <w:tab/>
            </w:r>
            <w:r w:rsidR="00843511">
              <w:rPr>
                <w:noProof/>
                <w:webHidden/>
              </w:rPr>
              <w:fldChar w:fldCharType="begin"/>
            </w:r>
            <w:r w:rsidR="00843511">
              <w:rPr>
                <w:noProof/>
                <w:webHidden/>
              </w:rPr>
              <w:instrText xml:space="preserve"> PAGEREF _Toc23836317 \h </w:instrText>
            </w:r>
            <w:r w:rsidR="00843511">
              <w:rPr>
                <w:noProof/>
                <w:webHidden/>
              </w:rPr>
            </w:r>
            <w:r w:rsidR="00843511">
              <w:rPr>
                <w:noProof/>
                <w:webHidden/>
              </w:rPr>
              <w:fldChar w:fldCharType="separate"/>
            </w:r>
            <w:r>
              <w:rPr>
                <w:noProof/>
                <w:webHidden/>
              </w:rPr>
              <w:t>1</w:t>
            </w:r>
            <w:r w:rsidR="00843511">
              <w:rPr>
                <w:noProof/>
                <w:webHidden/>
              </w:rPr>
              <w:fldChar w:fldCharType="end"/>
            </w:r>
          </w:hyperlink>
        </w:p>
        <w:p w14:paraId="2A33D385" w14:textId="47EEE85C" w:rsidR="00843511" w:rsidRDefault="00ED4593">
          <w:pPr>
            <w:pStyle w:val="TOC2"/>
            <w:tabs>
              <w:tab w:val="left" w:pos="880"/>
              <w:tab w:val="right" w:leader="dot" w:pos="9621"/>
            </w:tabs>
            <w:rPr>
              <w:rFonts w:asciiTheme="minorHAnsi" w:eastAsiaTheme="minorEastAsia" w:hAnsiTheme="minorHAnsi" w:cstheme="minorBidi"/>
              <w:noProof/>
              <w:lang w:eastAsia="en-AU"/>
            </w:rPr>
          </w:pPr>
          <w:hyperlink w:anchor="_Toc23836318" w:history="1">
            <w:r w:rsidR="00843511" w:rsidRPr="00AC1978">
              <w:rPr>
                <w:rStyle w:val="Hyperlink"/>
                <w:noProof/>
              </w:rPr>
              <w:t>2.2</w:t>
            </w:r>
            <w:r w:rsidR="00843511">
              <w:rPr>
                <w:rFonts w:asciiTheme="minorHAnsi" w:eastAsiaTheme="minorEastAsia" w:hAnsiTheme="minorHAnsi" w:cstheme="minorBidi"/>
                <w:noProof/>
                <w:lang w:eastAsia="en-AU"/>
              </w:rPr>
              <w:tab/>
            </w:r>
            <w:r w:rsidR="00843511" w:rsidRPr="00AC1978">
              <w:rPr>
                <w:rStyle w:val="Hyperlink"/>
                <w:noProof/>
              </w:rPr>
              <w:t>Regional Distribution</w:t>
            </w:r>
            <w:r w:rsidR="00843511">
              <w:rPr>
                <w:noProof/>
                <w:webHidden/>
              </w:rPr>
              <w:tab/>
            </w:r>
            <w:r w:rsidR="00843511">
              <w:rPr>
                <w:noProof/>
                <w:webHidden/>
              </w:rPr>
              <w:fldChar w:fldCharType="begin"/>
            </w:r>
            <w:r w:rsidR="00843511">
              <w:rPr>
                <w:noProof/>
                <w:webHidden/>
              </w:rPr>
              <w:instrText xml:space="preserve"> PAGEREF _Toc23836318 \h </w:instrText>
            </w:r>
            <w:r w:rsidR="00843511">
              <w:rPr>
                <w:noProof/>
                <w:webHidden/>
              </w:rPr>
            </w:r>
            <w:r w:rsidR="00843511">
              <w:rPr>
                <w:noProof/>
                <w:webHidden/>
              </w:rPr>
              <w:fldChar w:fldCharType="separate"/>
            </w:r>
            <w:r>
              <w:rPr>
                <w:noProof/>
                <w:webHidden/>
              </w:rPr>
              <w:t>2</w:t>
            </w:r>
            <w:r w:rsidR="00843511">
              <w:rPr>
                <w:noProof/>
                <w:webHidden/>
              </w:rPr>
              <w:fldChar w:fldCharType="end"/>
            </w:r>
          </w:hyperlink>
        </w:p>
        <w:p w14:paraId="214669EA" w14:textId="5B28A2A4" w:rsidR="00843511" w:rsidRDefault="00ED4593">
          <w:pPr>
            <w:pStyle w:val="TOC2"/>
            <w:tabs>
              <w:tab w:val="left" w:pos="880"/>
              <w:tab w:val="right" w:leader="dot" w:pos="9621"/>
            </w:tabs>
            <w:rPr>
              <w:rFonts w:asciiTheme="minorHAnsi" w:eastAsiaTheme="minorEastAsia" w:hAnsiTheme="minorHAnsi" w:cstheme="minorBidi"/>
              <w:noProof/>
              <w:lang w:eastAsia="en-AU"/>
            </w:rPr>
          </w:pPr>
          <w:hyperlink w:anchor="_Toc23836319" w:history="1">
            <w:r w:rsidR="00843511" w:rsidRPr="00AC1978">
              <w:rPr>
                <w:rStyle w:val="Hyperlink"/>
                <w:noProof/>
              </w:rPr>
              <w:t>2.3</w:t>
            </w:r>
            <w:r w:rsidR="00843511">
              <w:rPr>
                <w:rFonts w:asciiTheme="minorHAnsi" w:eastAsiaTheme="minorEastAsia" w:hAnsiTheme="minorHAnsi" w:cstheme="minorBidi"/>
                <w:noProof/>
                <w:lang w:eastAsia="en-AU"/>
              </w:rPr>
              <w:tab/>
            </w:r>
            <w:r w:rsidR="00843511" w:rsidRPr="00AC1978">
              <w:rPr>
                <w:rStyle w:val="Hyperlink"/>
                <w:noProof/>
              </w:rPr>
              <w:t>Future Mining Projects</w:t>
            </w:r>
            <w:r w:rsidR="00843511">
              <w:rPr>
                <w:noProof/>
                <w:webHidden/>
              </w:rPr>
              <w:tab/>
            </w:r>
            <w:r w:rsidR="00843511">
              <w:rPr>
                <w:noProof/>
                <w:webHidden/>
              </w:rPr>
              <w:fldChar w:fldCharType="begin"/>
            </w:r>
            <w:r w:rsidR="00843511">
              <w:rPr>
                <w:noProof/>
                <w:webHidden/>
              </w:rPr>
              <w:instrText xml:space="preserve"> PAGEREF _Toc23836319 \h </w:instrText>
            </w:r>
            <w:r w:rsidR="00843511">
              <w:rPr>
                <w:noProof/>
                <w:webHidden/>
              </w:rPr>
            </w:r>
            <w:r w:rsidR="00843511">
              <w:rPr>
                <w:noProof/>
                <w:webHidden/>
              </w:rPr>
              <w:fldChar w:fldCharType="separate"/>
            </w:r>
            <w:r>
              <w:rPr>
                <w:noProof/>
                <w:webHidden/>
              </w:rPr>
              <w:t>3</w:t>
            </w:r>
            <w:r w:rsidR="00843511">
              <w:rPr>
                <w:noProof/>
                <w:webHidden/>
              </w:rPr>
              <w:fldChar w:fldCharType="end"/>
            </w:r>
          </w:hyperlink>
        </w:p>
        <w:p w14:paraId="2559EC42" w14:textId="7844AFF1" w:rsidR="00843511" w:rsidRDefault="00ED4593">
          <w:pPr>
            <w:pStyle w:val="TOC2"/>
            <w:tabs>
              <w:tab w:val="left" w:pos="880"/>
              <w:tab w:val="right" w:leader="dot" w:pos="9621"/>
            </w:tabs>
            <w:rPr>
              <w:rFonts w:asciiTheme="minorHAnsi" w:eastAsiaTheme="minorEastAsia" w:hAnsiTheme="minorHAnsi" w:cstheme="minorBidi"/>
              <w:noProof/>
              <w:lang w:eastAsia="en-AU"/>
            </w:rPr>
          </w:pPr>
          <w:hyperlink w:anchor="_Toc23836320" w:history="1">
            <w:r w:rsidR="00843511" w:rsidRPr="00AC1978">
              <w:rPr>
                <w:rStyle w:val="Hyperlink"/>
                <w:noProof/>
              </w:rPr>
              <w:t>2.4</w:t>
            </w:r>
            <w:r w:rsidR="00843511">
              <w:rPr>
                <w:rFonts w:asciiTheme="minorHAnsi" w:eastAsiaTheme="minorEastAsia" w:hAnsiTheme="minorHAnsi" w:cstheme="minorBidi"/>
                <w:noProof/>
                <w:lang w:eastAsia="en-AU"/>
              </w:rPr>
              <w:tab/>
            </w:r>
            <w:r w:rsidR="00843511" w:rsidRPr="00AC1978">
              <w:rPr>
                <w:rStyle w:val="Hyperlink"/>
                <w:noProof/>
              </w:rPr>
              <w:t>Competition Factors</w:t>
            </w:r>
            <w:r w:rsidR="00843511">
              <w:rPr>
                <w:noProof/>
                <w:webHidden/>
              </w:rPr>
              <w:tab/>
            </w:r>
            <w:r w:rsidR="00843511">
              <w:rPr>
                <w:noProof/>
                <w:webHidden/>
              </w:rPr>
              <w:fldChar w:fldCharType="begin"/>
            </w:r>
            <w:r w:rsidR="00843511">
              <w:rPr>
                <w:noProof/>
                <w:webHidden/>
              </w:rPr>
              <w:instrText xml:space="preserve"> PAGEREF _Toc23836320 \h </w:instrText>
            </w:r>
            <w:r w:rsidR="00843511">
              <w:rPr>
                <w:noProof/>
                <w:webHidden/>
              </w:rPr>
            </w:r>
            <w:r w:rsidR="00843511">
              <w:rPr>
                <w:noProof/>
                <w:webHidden/>
              </w:rPr>
              <w:fldChar w:fldCharType="separate"/>
            </w:r>
            <w:r>
              <w:rPr>
                <w:noProof/>
                <w:webHidden/>
              </w:rPr>
              <w:t>3</w:t>
            </w:r>
            <w:r w:rsidR="00843511">
              <w:rPr>
                <w:noProof/>
                <w:webHidden/>
              </w:rPr>
              <w:fldChar w:fldCharType="end"/>
            </w:r>
          </w:hyperlink>
        </w:p>
        <w:p w14:paraId="05C966F0" w14:textId="7AB78A8C" w:rsidR="00843511" w:rsidRDefault="00ED4593">
          <w:pPr>
            <w:pStyle w:val="TOC1"/>
            <w:rPr>
              <w:rFonts w:asciiTheme="minorHAnsi" w:eastAsiaTheme="minorEastAsia" w:hAnsiTheme="minorHAnsi" w:cstheme="minorBidi"/>
              <w:noProof/>
              <w:lang w:eastAsia="en-AU"/>
            </w:rPr>
          </w:pPr>
          <w:hyperlink w:anchor="_Toc23836321" w:history="1">
            <w:r w:rsidR="00843511" w:rsidRPr="00AC1978">
              <w:rPr>
                <w:rStyle w:val="Hyperlink"/>
                <w:noProof/>
              </w:rPr>
              <w:t>3</w:t>
            </w:r>
            <w:r w:rsidR="00843511">
              <w:rPr>
                <w:rFonts w:asciiTheme="minorHAnsi" w:eastAsiaTheme="minorEastAsia" w:hAnsiTheme="minorHAnsi" w:cstheme="minorBidi"/>
                <w:noProof/>
                <w:lang w:eastAsia="en-AU"/>
              </w:rPr>
              <w:tab/>
            </w:r>
            <w:r w:rsidR="00843511" w:rsidRPr="00AC1978">
              <w:rPr>
                <w:rStyle w:val="Hyperlink"/>
                <w:noProof/>
              </w:rPr>
              <w:t>The Current Workforce</w:t>
            </w:r>
            <w:r w:rsidR="00843511">
              <w:rPr>
                <w:noProof/>
                <w:webHidden/>
              </w:rPr>
              <w:tab/>
            </w:r>
            <w:r w:rsidR="00843511">
              <w:rPr>
                <w:noProof/>
                <w:webHidden/>
              </w:rPr>
              <w:fldChar w:fldCharType="begin"/>
            </w:r>
            <w:r w:rsidR="00843511">
              <w:rPr>
                <w:noProof/>
                <w:webHidden/>
              </w:rPr>
              <w:instrText xml:space="preserve"> PAGEREF _Toc23836321 \h </w:instrText>
            </w:r>
            <w:r w:rsidR="00843511">
              <w:rPr>
                <w:noProof/>
                <w:webHidden/>
              </w:rPr>
            </w:r>
            <w:r w:rsidR="00843511">
              <w:rPr>
                <w:noProof/>
                <w:webHidden/>
              </w:rPr>
              <w:fldChar w:fldCharType="separate"/>
            </w:r>
            <w:r>
              <w:rPr>
                <w:noProof/>
                <w:webHidden/>
              </w:rPr>
              <w:t>4</w:t>
            </w:r>
            <w:r w:rsidR="00843511">
              <w:rPr>
                <w:noProof/>
                <w:webHidden/>
              </w:rPr>
              <w:fldChar w:fldCharType="end"/>
            </w:r>
          </w:hyperlink>
        </w:p>
        <w:p w14:paraId="1A7EB931" w14:textId="54672C62" w:rsidR="00843511" w:rsidRDefault="00ED4593">
          <w:pPr>
            <w:pStyle w:val="TOC2"/>
            <w:tabs>
              <w:tab w:val="left" w:pos="880"/>
              <w:tab w:val="right" w:leader="dot" w:pos="9621"/>
            </w:tabs>
            <w:rPr>
              <w:rFonts w:asciiTheme="minorHAnsi" w:eastAsiaTheme="minorEastAsia" w:hAnsiTheme="minorHAnsi" w:cstheme="minorBidi"/>
              <w:noProof/>
              <w:lang w:eastAsia="en-AU"/>
            </w:rPr>
          </w:pPr>
          <w:hyperlink w:anchor="_Toc23836322" w:history="1">
            <w:r w:rsidR="00843511" w:rsidRPr="00AC1978">
              <w:rPr>
                <w:rStyle w:val="Hyperlink"/>
                <w:noProof/>
              </w:rPr>
              <w:t>3.1</w:t>
            </w:r>
            <w:r w:rsidR="00843511">
              <w:rPr>
                <w:rFonts w:asciiTheme="minorHAnsi" w:eastAsiaTheme="minorEastAsia" w:hAnsiTheme="minorHAnsi" w:cstheme="minorBidi"/>
                <w:noProof/>
                <w:lang w:eastAsia="en-AU"/>
              </w:rPr>
              <w:tab/>
            </w:r>
            <w:r w:rsidR="00843511" w:rsidRPr="00AC1978">
              <w:rPr>
                <w:rStyle w:val="Hyperlink"/>
                <w:noProof/>
              </w:rPr>
              <w:t>Workforce Size</w:t>
            </w:r>
            <w:r w:rsidR="00843511">
              <w:rPr>
                <w:noProof/>
                <w:webHidden/>
              </w:rPr>
              <w:tab/>
            </w:r>
            <w:r w:rsidR="00843511">
              <w:rPr>
                <w:noProof/>
                <w:webHidden/>
              </w:rPr>
              <w:fldChar w:fldCharType="begin"/>
            </w:r>
            <w:r w:rsidR="00843511">
              <w:rPr>
                <w:noProof/>
                <w:webHidden/>
              </w:rPr>
              <w:instrText xml:space="preserve"> PAGEREF _Toc23836322 \h </w:instrText>
            </w:r>
            <w:r w:rsidR="00843511">
              <w:rPr>
                <w:noProof/>
                <w:webHidden/>
              </w:rPr>
            </w:r>
            <w:r w:rsidR="00843511">
              <w:rPr>
                <w:noProof/>
                <w:webHidden/>
              </w:rPr>
              <w:fldChar w:fldCharType="separate"/>
            </w:r>
            <w:r>
              <w:rPr>
                <w:noProof/>
                <w:webHidden/>
              </w:rPr>
              <w:t>4</w:t>
            </w:r>
            <w:r w:rsidR="00843511">
              <w:rPr>
                <w:noProof/>
                <w:webHidden/>
              </w:rPr>
              <w:fldChar w:fldCharType="end"/>
            </w:r>
          </w:hyperlink>
        </w:p>
        <w:p w14:paraId="0A934287" w14:textId="5153764E" w:rsidR="00843511" w:rsidRDefault="00ED4593">
          <w:pPr>
            <w:pStyle w:val="TOC3"/>
            <w:tabs>
              <w:tab w:val="left" w:pos="1320"/>
              <w:tab w:val="right" w:leader="dot" w:pos="9621"/>
            </w:tabs>
            <w:rPr>
              <w:rFonts w:asciiTheme="minorHAnsi" w:eastAsiaTheme="minorEastAsia" w:hAnsiTheme="minorHAnsi" w:cstheme="minorBidi"/>
              <w:noProof/>
              <w:lang w:eastAsia="en-AU"/>
            </w:rPr>
          </w:pPr>
          <w:hyperlink w:anchor="_Toc23836323" w:history="1">
            <w:r w:rsidR="00843511" w:rsidRPr="00AC1978">
              <w:rPr>
                <w:rStyle w:val="Hyperlink"/>
                <w:noProof/>
                <w14:scene3d>
                  <w14:camera w14:prst="orthographicFront"/>
                  <w14:lightRig w14:rig="threePt" w14:dir="t">
                    <w14:rot w14:lat="0" w14:lon="0" w14:rev="0"/>
                  </w14:lightRig>
                </w14:scene3d>
              </w:rPr>
              <w:t>3.1.1</w:t>
            </w:r>
            <w:r w:rsidR="00843511">
              <w:rPr>
                <w:rFonts w:asciiTheme="minorHAnsi" w:eastAsiaTheme="minorEastAsia" w:hAnsiTheme="minorHAnsi" w:cstheme="minorBidi"/>
                <w:noProof/>
                <w:lang w:eastAsia="en-AU"/>
              </w:rPr>
              <w:tab/>
            </w:r>
            <w:r w:rsidR="00843511" w:rsidRPr="00AC1978">
              <w:rPr>
                <w:rStyle w:val="Hyperlink"/>
                <w:noProof/>
              </w:rPr>
              <w:t>Growth Cycle</w:t>
            </w:r>
            <w:r w:rsidR="00843511">
              <w:rPr>
                <w:noProof/>
                <w:webHidden/>
              </w:rPr>
              <w:tab/>
            </w:r>
            <w:r w:rsidR="00843511">
              <w:rPr>
                <w:noProof/>
                <w:webHidden/>
              </w:rPr>
              <w:fldChar w:fldCharType="begin"/>
            </w:r>
            <w:r w:rsidR="00843511">
              <w:rPr>
                <w:noProof/>
                <w:webHidden/>
              </w:rPr>
              <w:instrText xml:space="preserve"> PAGEREF _Toc23836323 \h </w:instrText>
            </w:r>
            <w:r w:rsidR="00843511">
              <w:rPr>
                <w:noProof/>
                <w:webHidden/>
              </w:rPr>
            </w:r>
            <w:r w:rsidR="00843511">
              <w:rPr>
                <w:noProof/>
                <w:webHidden/>
              </w:rPr>
              <w:fldChar w:fldCharType="separate"/>
            </w:r>
            <w:r>
              <w:rPr>
                <w:noProof/>
                <w:webHidden/>
              </w:rPr>
              <w:t>5</w:t>
            </w:r>
            <w:r w:rsidR="00843511">
              <w:rPr>
                <w:noProof/>
                <w:webHidden/>
              </w:rPr>
              <w:fldChar w:fldCharType="end"/>
            </w:r>
          </w:hyperlink>
        </w:p>
        <w:p w14:paraId="4E6BF196" w14:textId="1B5B89CC" w:rsidR="00843511" w:rsidRDefault="00ED4593">
          <w:pPr>
            <w:pStyle w:val="TOC2"/>
            <w:tabs>
              <w:tab w:val="left" w:pos="880"/>
              <w:tab w:val="right" w:leader="dot" w:pos="9621"/>
            </w:tabs>
            <w:rPr>
              <w:rFonts w:asciiTheme="minorHAnsi" w:eastAsiaTheme="minorEastAsia" w:hAnsiTheme="minorHAnsi" w:cstheme="minorBidi"/>
              <w:noProof/>
              <w:lang w:eastAsia="en-AU"/>
            </w:rPr>
          </w:pPr>
          <w:hyperlink w:anchor="_Toc23836324" w:history="1">
            <w:r w:rsidR="00843511" w:rsidRPr="00AC1978">
              <w:rPr>
                <w:rStyle w:val="Hyperlink"/>
                <w:noProof/>
              </w:rPr>
              <w:t>3.2</w:t>
            </w:r>
            <w:r w:rsidR="00843511">
              <w:rPr>
                <w:rFonts w:asciiTheme="minorHAnsi" w:eastAsiaTheme="minorEastAsia" w:hAnsiTheme="minorHAnsi" w:cstheme="minorBidi"/>
                <w:noProof/>
                <w:lang w:eastAsia="en-AU"/>
              </w:rPr>
              <w:tab/>
            </w:r>
            <w:r w:rsidR="00843511" w:rsidRPr="00AC1978">
              <w:rPr>
                <w:rStyle w:val="Hyperlink"/>
                <w:noProof/>
              </w:rPr>
              <w:t>Residence and Workplace</w:t>
            </w:r>
            <w:r w:rsidR="00843511">
              <w:rPr>
                <w:noProof/>
                <w:webHidden/>
              </w:rPr>
              <w:tab/>
            </w:r>
            <w:r w:rsidR="00843511">
              <w:rPr>
                <w:noProof/>
                <w:webHidden/>
              </w:rPr>
              <w:fldChar w:fldCharType="begin"/>
            </w:r>
            <w:r w:rsidR="00843511">
              <w:rPr>
                <w:noProof/>
                <w:webHidden/>
              </w:rPr>
              <w:instrText xml:space="preserve"> PAGEREF _Toc23836324 \h </w:instrText>
            </w:r>
            <w:r w:rsidR="00843511">
              <w:rPr>
                <w:noProof/>
                <w:webHidden/>
              </w:rPr>
            </w:r>
            <w:r w:rsidR="00843511">
              <w:rPr>
                <w:noProof/>
                <w:webHidden/>
              </w:rPr>
              <w:fldChar w:fldCharType="separate"/>
            </w:r>
            <w:r>
              <w:rPr>
                <w:noProof/>
                <w:webHidden/>
              </w:rPr>
              <w:t>6</w:t>
            </w:r>
            <w:r w:rsidR="00843511">
              <w:rPr>
                <w:noProof/>
                <w:webHidden/>
              </w:rPr>
              <w:fldChar w:fldCharType="end"/>
            </w:r>
          </w:hyperlink>
        </w:p>
        <w:p w14:paraId="1E1FD858" w14:textId="2D19E2C9" w:rsidR="00843511" w:rsidRDefault="00ED4593">
          <w:pPr>
            <w:pStyle w:val="TOC2"/>
            <w:tabs>
              <w:tab w:val="left" w:pos="880"/>
              <w:tab w:val="right" w:leader="dot" w:pos="9621"/>
            </w:tabs>
            <w:rPr>
              <w:rFonts w:asciiTheme="minorHAnsi" w:eastAsiaTheme="minorEastAsia" w:hAnsiTheme="minorHAnsi" w:cstheme="minorBidi"/>
              <w:noProof/>
              <w:lang w:eastAsia="en-AU"/>
            </w:rPr>
          </w:pPr>
          <w:hyperlink w:anchor="_Toc23836325" w:history="1">
            <w:r w:rsidR="00843511" w:rsidRPr="00AC1978">
              <w:rPr>
                <w:rStyle w:val="Hyperlink"/>
                <w:noProof/>
              </w:rPr>
              <w:t>3.3</w:t>
            </w:r>
            <w:r w:rsidR="00843511">
              <w:rPr>
                <w:rFonts w:asciiTheme="minorHAnsi" w:eastAsiaTheme="minorEastAsia" w:hAnsiTheme="minorHAnsi" w:cstheme="minorBidi"/>
                <w:noProof/>
                <w:lang w:eastAsia="en-AU"/>
              </w:rPr>
              <w:tab/>
            </w:r>
            <w:r w:rsidR="00843511" w:rsidRPr="00AC1978">
              <w:rPr>
                <w:rStyle w:val="Hyperlink"/>
                <w:noProof/>
              </w:rPr>
              <w:t>Age and Gender</w:t>
            </w:r>
            <w:r w:rsidR="00843511">
              <w:rPr>
                <w:noProof/>
                <w:webHidden/>
              </w:rPr>
              <w:tab/>
            </w:r>
            <w:r w:rsidR="00843511">
              <w:rPr>
                <w:noProof/>
                <w:webHidden/>
              </w:rPr>
              <w:fldChar w:fldCharType="begin"/>
            </w:r>
            <w:r w:rsidR="00843511">
              <w:rPr>
                <w:noProof/>
                <w:webHidden/>
              </w:rPr>
              <w:instrText xml:space="preserve"> PAGEREF _Toc23836325 \h </w:instrText>
            </w:r>
            <w:r w:rsidR="00843511">
              <w:rPr>
                <w:noProof/>
                <w:webHidden/>
              </w:rPr>
            </w:r>
            <w:r w:rsidR="00843511">
              <w:rPr>
                <w:noProof/>
                <w:webHidden/>
              </w:rPr>
              <w:fldChar w:fldCharType="separate"/>
            </w:r>
            <w:r>
              <w:rPr>
                <w:noProof/>
                <w:webHidden/>
              </w:rPr>
              <w:t>8</w:t>
            </w:r>
            <w:r w:rsidR="00843511">
              <w:rPr>
                <w:noProof/>
                <w:webHidden/>
              </w:rPr>
              <w:fldChar w:fldCharType="end"/>
            </w:r>
          </w:hyperlink>
        </w:p>
        <w:p w14:paraId="46BB5B12" w14:textId="7B1A325F" w:rsidR="00843511" w:rsidRDefault="00ED4593">
          <w:pPr>
            <w:pStyle w:val="TOC3"/>
            <w:tabs>
              <w:tab w:val="left" w:pos="1320"/>
              <w:tab w:val="right" w:leader="dot" w:pos="9621"/>
            </w:tabs>
            <w:rPr>
              <w:rFonts w:asciiTheme="minorHAnsi" w:eastAsiaTheme="minorEastAsia" w:hAnsiTheme="minorHAnsi" w:cstheme="minorBidi"/>
              <w:noProof/>
              <w:lang w:eastAsia="en-AU"/>
            </w:rPr>
          </w:pPr>
          <w:hyperlink w:anchor="_Toc23836326" w:history="1">
            <w:r w:rsidR="00843511" w:rsidRPr="00AC1978">
              <w:rPr>
                <w:rStyle w:val="Hyperlink"/>
                <w:noProof/>
                <w14:scene3d>
                  <w14:camera w14:prst="orthographicFront"/>
                  <w14:lightRig w14:rig="threePt" w14:dir="t">
                    <w14:rot w14:lat="0" w14:lon="0" w14:rev="0"/>
                  </w14:lightRig>
                </w14:scene3d>
              </w:rPr>
              <w:t>3.3.1</w:t>
            </w:r>
            <w:r w:rsidR="00843511">
              <w:rPr>
                <w:rFonts w:asciiTheme="minorHAnsi" w:eastAsiaTheme="minorEastAsia" w:hAnsiTheme="minorHAnsi" w:cstheme="minorBidi"/>
                <w:noProof/>
                <w:lang w:eastAsia="en-AU"/>
              </w:rPr>
              <w:tab/>
            </w:r>
            <w:r w:rsidR="00843511" w:rsidRPr="00AC1978">
              <w:rPr>
                <w:rStyle w:val="Hyperlink"/>
                <w:noProof/>
              </w:rPr>
              <w:t>Age</w:t>
            </w:r>
            <w:r w:rsidR="00843511">
              <w:rPr>
                <w:noProof/>
                <w:webHidden/>
              </w:rPr>
              <w:tab/>
            </w:r>
            <w:r w:rsidR="00843511">
              <w:rPr>
                <w:noProof/>
                <w:webHidden/>
              </w:rPr>
              <w:fldChar w:fldCharType="begin"/>
            </w:r>
            <w:r w:rsidR="00843511">
              <w:rPr>
                <w:noProof/>
                <w:webHidden/>
              </w:rPr>
              <w:instrText xml:space="preserve"> PAGEREF _Toc23836326 \h </w:instrText>
            </w:r>
            <w:r w:rsidR="00843511">
              <w:rPr>
                <w:noProof/>
                <w:webHidden/>
              </w:rPr>
            </w:r>
            <w:r w:rsidR="00843511">
              <w:rPr>
                <w:noProof/>
                <w:webHidden/>
              </w:rPr>
              <w:fldChar w:fldCharType="separate"/>
            </w:r>
            <w:r>
              <w:rPr>
                <w:noProof/>
                <w:webHidden/>
              </w:rPr>
              <w:t>8</w:t>
            </w:r>
            <w:r w:rsidR="00843511">
              <w:rPr>
                <w:noProof/>
                <w:webHidden/>
              </w:rPr>
              <w:fldChar w:fldCharType="end"/>
            </w:r>
          </w:hyperlink>
        </w:p>
        <w:p w14:paraId="1CA196BC" w14:textId="48E0E9B7" w:rsidR="00843511" w:rsidRDefault="00ED4593">
          <w:pPr>
            <w:pStyle w:val="TOC3"/>
            <w:tabs>
              <w:tab w:val="left" w:pos="1320"/>
              <w:tab w:val="right" w:leader="dot" w:pos="9621"/>
            </w:tabs>
            <w:rPr>
              <w:rFonts w:asciiTheme="minorHAnsi" w:eastAsiaTheme="minorEastAsia" w:hAnsiTheme="minorHAnsi" w:cstheme="minorBidi"/>
              <w:noProof/>
              <w:lang w:eastAsia="en-AU"/>
            </w:rPr>
          </w:pPr>
          <w:hyperlink w:anchor="_Toc23836327" w:history="1">
            <w:r w:rsidR="00843511" w:rsidRPr="00AC1978">
              <w:rPr>
                <w:rStyle w:val="Hyperlink"/>
                <w:noProof/>
                <w14:scene3d>
                  <w14:camera w14:prst="orthographicFront"/>
                  <w14:lightRig w14:rig="threePt" w14:dir="t">
                    <w14:rot w14:lat="0" w14:lon="0" w14:rev="0"/>
                  </w14:lightRig>
                </w14:scene3d>
              </w:rPr>
              <w:t>3.3.2</w:t>
            </w:r>
            <w:r w:rsidR="00843511">
              <w:rPr>
                <w:rFonts w:asciiTheme="minorHAnsi" w:eastAsiaTheme="minorEastAsia" w:hAnsiTheme="minorHAnsi" w:cstheme="minorBidi"/>
                <w:noProof/>
                <w:lang w:eastAsia="en-AU"/>
              </w:rPr>
              <w:tab/>
            </w:r>
            <w:r w:rsidR="00843511" w:rsidRPr="00AC1978">
              <w:rPr>
                <w:rStyle w:val="Hyperlink"/>
                <w:noProof/>
              </w:rPr>
              <w:t>Gender</w:t>
            </w:r>
            <w:r w:rsidR="00843511">
              <w:rPr>
                <w:noProof/>
                <w:webHidden/>
              </w:rPr>
              <w:tab/>
            </w:r>
            <w:r w:rsidR="00843511">
              <w:rPr>
                <w:noProof/>
                <w:webHidden/>
              </w:rPr>
              <w:fldChar w:fldCharType="begin"/>
            </w:r>
            <w:r w:rsidR="00843511">
              <w:rPr>
                <w:noProof/>
                <w:webHidden/>
              </w:rPr>
              <w:instrText xml:space="preserve"> PAGEREF _Toc23836327 \h </w:instrText>
            </w:r>
            <w:r w:rsidR="00843511">
              <w:rPr>
                <w:noProof/>
                <w:webHidden/>
              </w:rPr>
            </w:r>
            <w:r w:rsidR="00843511">
              <w:rPr>
                <w:noProof/>
                <w:webHidden/>
              </w:rPr>
              <w:fldChar w:fldCharType="separate"/>
            </w:r>
            <w:r>
              <w:rPr>
                <w:noProof/>
                <w:webHidden/>
              </w:rPr>
              <w:t>10</w:t>
            </w:r>
            <w:r w:rsidR="00843511">
              <w:rPr>
                <w:noProof/>
                <w:webHidden/>
              </w:rPr>
              <w:fldChar w:fldCharType="end"/>
            </w:r>
          </w:hyperlink>
        </w:p>
        <w:p w14:paraId="7E2071ED" w14:textId="0CC930D6" w:rsidR="00843511" w:rsidRDefault="00ED4593">
          <w:pPr>
            <w:pStyle w:val="TOC2"/>
            <w:tabs>
              <w:tab w:val="left" w:pos="880"/>
              <w:tab w:val="right" w:leader="dot" w:pos="9621"/>
            </w:tabs>
            <w:rPr>
              <w:rFonts w:asciiTheme="minorHAnsi" w:eastAsiaTheme="minorEastAsia" w:hAnsiTheme="minorHAnsi" w:cstheme="minorBidi"/>
              <w:noProof/>
              <w:lang w:eastAsia="en-AU"/>
            </w:rPr>
          </w:pPr>
          <w:hyperlink w:anchor="_Toc23836328" w:history="1">
            <w:r w:rsidR="00843511" w:rsidRPr="00AC1978">
              <w:rPr>
                <w:rStyle w:val="Hyperlink"/>
                <w:noProof/>
              </w:rPr>
              <w:t>3.4</w:t>
            </w:r>
            <w:r w:rsidR="00843511">
              <w:rPr>
                <w:rFonts w:asciiTheme="minorHAnsi" w:eastAsiaTheme="minorEastAsia" w:hAnsiTheme="minorHAnsi" w:cstheme="minorBidi"/>
                <w:noProof/>
                <w:lang w:eastAsia="en-AU"/>
              </w:rPr>
              <w:tab/>
            </w:r>
            <w:r w:rsidR="00843511" w:rsidRPr="00AC1978">
              <w:rPr>
                <w:rStyle w:val="Hyperlink"/>
                <w:noProof/>
              </w:rPr>
              <w:t>Occupation</w:t>
            </w:r>
            <w:r w:rsidR="00843511">
              <w:rPr>
                <w:noProof/>
                <w:webHidden/>
              </w:rPr>
              <w:tab/>
            </w:r>
            <w:r w:rsidR="00843511">
              <w:rPr>
                <w:noProof/>
                <w:webHidden/>
              </w:rPr>
              <w:fldChar w:fldCharType="begin"/>
            </w:r>
            <w:r w:rsidR="00843511">
              <w:rPr>
                <w:noProof/>
                <w:webHidden/>
              </w:rPr>
              <w:instrText xml:space="preserve"> PAGEREF _Toc23836328 \h </w:instrText>
            </w:r>
            <w:r w:rsidR="00843511">
              <w:rPr>
                <w:noProof/>
                <w:webHidden/>
              </w:rPr>
            </w:r>
            <w:r w:rsidR="00843511">
              <w:rPr>
                <w:noProof/>
                <w:webHidden/>
              </w:rPr>
              <w:fldChar w:fldCharType="separate"/>
            </w:r>
            <w:r>
              <w:rPr>
                <w:noProof/>
                <w:webHidden/>
              </w:rPr>
              <w:t>11</w:t>
            </w:r>
            <w:r w:rsidR="00843511">
              <w:rPr>
                <w:noProof/>
                <w:webHidden/>
              </w:rPr>
              <w:fldChar w:fldCharType="end"/>
            </w:r>
          </w:hyperlink>
        </w:p>
        <w:p w14:paraId="3DBF83D0" w14:textId="054A90FF" w:rsidR="00843511" w:rsidRDefault="00ED4593">
          <w:pPr>
            <w:pStyle w:val="TOC2"/>
            <w:tabs>
              <w:tab w:val="left" w:pos="880"/>
              <w:tab w:val="right" w:leader="dot" w:pos="9621"/>
            </w:tabs>
            <w:rPr>
              <w:rFonts w:asciiTheme="minorHAnsi" w:eastAsiaTheme="minorEastAsia" w:hAnsiTheme="minorHAnsi" w:cstheme="minorBidi"/>
              <w:noProof/>
              <w:lang w:eastAsia="en-AU"/>
            </w:rPr>
          </w:pPr>
          <w:hyperlink w:anchor="_Toc23836329" w:history="1">
            <w:r w:rsidR="00843511" w:rsidRPr="00AC1978">
              <w:rPr>
                <w:rStyle w:val="Hyperlink"/>
                <w:noProof/>
              </w:rPr>
              <w:t>3.5</w:t>
            </w:r>
            <w:r w:rsidR="00843511">
              <w:rPr>
                <w:rFonts w:asciiTheme="minorHAnsi" w:eastAsiaTheme="minorEastAsia" w:hAnsiTheme="minorHAnsi" w:cstheme="minorBidi"/>
                <w:noProof/>
                <w:lang w:eastAsia="en-AU"/>
              </w:rPr>
              <w:tab/>
            </w:r>
            <w:r w:rsidR="00843511" w:rsidRPr="00AC1978">
              <w:rPr>
                <w:rStyle w:val="Hyperlink"/>
                <w:noProof/>
              </w:rPr>
              <w:t>Employment Type</w:t>
            </w:r>
            <w:r w:rsidR="00843511">
              <w:rPr>
                <w:noProof/>
                <w:webHidden/>
              </w:rPr>
              <w:tab/>
            </w:r>
            <w:r w:rsidR="00843511">
              <w:rPr>
                <w:noProof/>
                <w:webHidden/>
              </w:rPr>
              <w:fldChar w:fldCharType="begin"/>
            </w:r>
            <w:r w:rsidR="00843511">
              <w:rPr>
                <w:noProof/>
                <w:webHidden/>
              </w:rPr>
              <w:instrText xml:space="preserve"> PAGEREF _Toc23836329 \h </w:instrText>
            </w:r>
            <w:r w:rsidR="00843511">
              <w:rPr>
                <w:noProof/>
                <w:webHidden/>
              </w:rPr>
            </w:r>
            <w:r w:rsidR="00843511">
              <w:rPr>
                <w:noProof/>
                <w:webHidden/>
              </w:rPr>
              <w:fldChar w:fldCharType="separate"/>
            </w:r>
            <w:r>
              <w:rPr>
                <w:noProof/>
                <w:webHidden/>
              </w:rPr>
              <w:t>13</w:t>
            </w:r>
            <w:r w:rsidR="00843511">
              <w:rPr>
                <w:noProof/>
                <w:webHidden/>
              </w:rPr>
              <w:fldChar w:fldCharType="end"/>
            </w:r>
          </w:hyperlink>
        </w:p>
        <w:p w14:paraId="77309FFF" w14:textId="317D214F" w:rsidR="00843511" w:rsidRDefault="00ED4593">
          <w:pPr>
            <w:pStyle w:val="TOC2"/>
            <w:tabs>
              <w:tab w:val="left" w:pos="880"/>
              <w:tab w:val="right" w:leader="dot" w:pos="9621"/>
            </w:tabs>
            <w:rPr>
              <w:rFonts w:asciiTheme="minorHAnsi" w:eastAsiaTheme="minorEastAsia" w:hAnsiTheme="minorHAnsi" w:cstheme="minorBidi"/>
              <w:noProof/>
              <w:lang w:eastAsia="en-AU"/>
            </w:rPr>
          </w:pPr>
          <w:hyperlink w:anchor="_Toc23836330" w:history="1">
            <w:r w:rsidR="00843511" w:rsidRPr="00AC1978">
              <w:rPr>
                <w:rStyle w:val="Hyperlink"/>
                <w:noProof/>
              </w:rPr>
              <w:t>3.6</w:t>
            </w:r>
            <w:r w:rsidR="00843511">
              <w:rPr>
                <w:rFonts w:asciiTheme="minorHAnsi" w:eastAsiaTheme="minorEastAsia" w:hAnsiTheme="minorHAnsi" w:cstheme="minorBidi"/>
                <w:noProof/>
                <w:lang w:eastAsia="en-AU"/>
              </w:rPr>
              <w:tab/>
            </w:r>
            <w:r w:rsidR="00843511" w:rsidRPr="00AC1978">
              <w:rPr>
                <w:rStyle w:val="Hyperlink"/>
                <w:noProof/>
              </w:rPr>
              <w:t>Income</w:t>
            </w:r>
            <w:r w:rsidR="00843511">
              <w:rPr>
                <w:noProof/>
                <w:webHidden/>
              </w:rPr>
              <w:tab/>
            </w:r>
            <w:r w:rsidR="00843511">
              <w:rPr>
                <w:noProof/>
                <w:webHidden/>
              </w:rPr>
              <w:fldChar w:fldCharType="begin"/>
            </w:r>
            <w:r w:rsidR="00843511">
              <w:rPr>
                <w:noProof/>
                <w:webHidden/>
              </w:rPr>
              <w:instrText xml:space="preserve"> PAGEREF _Toc23836330 \h </w:instrText>
            </w:r>
            <w:r w:rsidR="00843511">
              <w:rPr>
                <w:noProof/>
                <w:webHidden/>
              </w:rPr>
            </w:r>
            <w:r w:rsidR="00843511">
              <w:rPr>
                <w:noProof/>
                <w:webHidden/>
              </w:rPr>
              <w:fldChar w:fldCharType="separate"/>
            </w:r>
            <w:r>
              <w:rPr>
                <w:noProof/>
                <w:webHidden/>
              </w:rPr>
              <w:t>14</w:t>
            </w:r>
            <w:r w:rsidR="00843511">
              <w:rPr>
                <w:noProof/>
                <w:webHidden/>
              </w:rPr>
              <w:fldChar w:fldCharType="end"/>
            </w:r>
          </w:hyperlink>
        </w:p>
        <w:p w14:paraId="1F76E6E2" w14:textId="76CA3057" w:rsidR="00843511" w:rsidRDefault="00ED4593">
          <w:pPr>
            <w:pStyle w:val="TOC2"/>
            <w:tabs>
              <w:tab w:val="left" w:pos="880"/>
              <w:tab w:val="right" w:leader="dot" w:pos="9621"/>
            </w:tabs>
            <w:rPr>
              <w:rFonts w:asciiTheme="minorHAnsi" w:eastAsiaTheme="minorEastAsia" w:hAnsiTheme="minorHAnsi" w:cstheme="minorBidi"/>
              <w:noProof/>
              <w:lang w:eastAsia="en-AU"/>
            </w:rPr>
          </w:pPr>
          <w:hyperlink w:anchor="_Toc23836331" w:history="1">
            <w:r w:rsidR="00843511" w:rsidRPr="00AC1978">
              <w:rPr>
                <w:rStyle w:val="Hyperlink"/>
                <w:noProof/>
              </w:rPr>
              <w:t>3.7</w:t>
            </w:r>
            <w:r w:rsidR="00843511">
              <w:rPr>
                <w:rFonts w:asciiTheme="minorHAnsi" w:eastAsiaTheme="minorEastAsia" w:hAnsiTheme="minorHAnsi" w:cstheme="minorBidi"/>
                <w:noProof/>
                <w:lang w:eastAsia="en-AU"/>
              </w:rPr>
              <w:tab/>
            </w:r>
            <w:r w:rsidR="00843511" w:rsidRPr="00AC1978">
              <w:rPr>
                <w:rStyle w:val="Hyperlink"/>
                <w:noProof/>
              </w:rPr>
              <w:t>Education and Training</w:t>
            </w:r>
            <w:r w:rsidR="00843511">
              <w:rPr>
                <w:noProof/>
                <w:webHidden/>
              </w:rPr>
              <w:tab/>
            </w:r>
            <w:r w:rsidR="00843511">
              <w:rPr>
                <w:noProof/>
                <w:webHidden/>
              </w:rPr>
              <w:fldChar w:fldCharType="begin"/>
            </w:r>
            <w:r w:rsidR="00843511">
              <w:rPr>
                <w:noProof/>
                <w:webHidden/>
              </w:rPr>
              <w:instrText xml:space="preserve"> PAGEREF _Toc23836331 \h </w:instrText>
            </w:r>
            <w:r w:rsidR="00843511">
              <w:rPr>
                <w:noProof/>
                <w:webHidden/>
              </w:rPr>
            </w:r>
            <w:r w:rsidR="00843511">
              <w:rPr>
                <w:noProof/>
                <w:webHidden/>
              </w:rPr>
              <w:fldChar w:fldCharType="separate"/>
            </w:r>
            <w:r>
              <w:rPr>
                <w:noProof/>
                <w:webHidden/>
              </w:rPr>
              <w:t>16</w:t>
            </w:r>
            <w:r w:rsidR="00843511">
              <w:rPr>
                <w:noProof/>
                <w:webHidden/>
              </w:rPr>
              <w:fldChar w:fldCharType="end"/>
            </w:r>
          </w:hyperlink>
        </w:p>
        <w:p w14:paraId="2F843FA6" w14:textId="28806A78" w:rsidR="00843511" w:rsidRDefault="00ED4593">
          <w:pPr>
            <w:pStyle w:val="TOC3"/>
            <w:tabs>
              <w:tab w:val="left" w:pos="1320"/>
              <w:tab w:val="right" w:leader="dot" w:pos="9621"/>
            </w:tabs>
            <w:rPr>
              <w:rFonts w:asciiTheme="minorHAnsi" w:eastAsiaTheme="minorEastAsia" w:hAnsiTheme="minorHAnsi" w:cstheme="minorBidi"/>
              <w:noProof/>
              <w:lang w:eastAsia="en-AU"/>
            </w:rPr>
          </w:pPr>
          <w:hyperlink w:anchor="_Toc23836332" w:history="1">
            <w:r w:rsidR="00843511" w:rsidRPr="00AC1978">
              <w:rPr>
                <w:rStyle w:val="Hyperlink"/>
                <w:noProof/>
                <w14:scene3d>
                  <w14:camera w14:prst="orthographicFront"/>
                  <w14:lightRig w14:rig="threePt" w14:dir="t">
                    <w14:rot w14:lat="0" w14:lon="0" w14:rev="0"/>
                  </w14:lightRig>
                </w14:scene3d>
              </w:rPr>
              <w:t>3.7.1</w:t>
            </w:r>
            <w:r w:rsidR="00843511">
              <w:rPr>
                <w:rFonts w:asciiTheme="minorHAnsi" w:eastAsiaTheme="minorEastAsia" w:hAnsiTheme="minorHAnsi" w:cstheme="minorBidi"/>
                <w:noProof/>
                <w:lang w:eastAsia="en-AU"/>
              </w:rPr>
              <w:tab/>
            </w:r>
            <w:r w:rsidR="00843511" w:rsidRPr="00AC1978">
              <w:rPr>
                <w:rStyle w:val="Hyperlink"/>
                <w:noProof/>
              </w:rPr>
              <w:t>Enrolments and Completions</w:t>
            </w:r>
            <w:r w:rsidR="00843511">
              <w:rPr>
                <w:noProof/>
                <w:webHidden/>
              </w:rPr>
              <w:tab/>
            </w:r>
            <w:r w:rsidR="00843511">
              <w:rPr>
                <w:noProof/>
                <w:webHidden/>
              </w:rPr>
              <w:fldChar w:fldCharType="begin"/>
            </w:r>
            <w:r w:rsidR="00843511">
              <w:rPr>
                <w:noProof/>
                <w:webHidden/>
              </w:rPr>
              <w:instrText xml:space="preserve"> PAGEREF _Toc23836332 \h </w:instrText>
            </w:r>
            <w:r w:rsidR="00843511">
              <w:rPr>
                <w:noProof/>
                <w:webHidden/>
              </w:rPr>
            </w:r>
            <w:r w:rsidR="00843511">
              <w:rPr>
                <w:noProof/>
                <w:webHidden/>
              </w:rPr>
              <w:fldChar w:fldCharType="separate"/>
            </w:r>
            <w:r>
              <w:rPr>
                <w:noProof/>
                <w:webHidden/>
              </w:rPr>
              <w:t>17</w:t>
            </w:r>
            <w:r w:rsidR="00843511">
              <w:rPr>
                <w:noProof/>
                <w:webHidden/>
              </w:rPr>
              <w:fldChar w:fldCharType="end"/>
            </w:r>
          </w:hyperlink>
        </w:p>
        <w:p w14:paraId="7F8A8B15" w14:textId="3743CEAF" w:rsidR="00843511" w:rsidRDefault="00ED4593">
          <w:pPr>
            <w:pStyle w:val="TOC3"/>
            <w:tabs>
              <w:tab w:val="left" w:pos="1320"/>
              <w:tab w:val="right" w:leader="dot" w:pos="9621"/>
            </w:tabs>
            <w:rPr>
              <w:rFonts w:asciiTheme="minorHAnsi" w:eastAsiaTheme="minorEastAsia" w:hAnsiTheme="minorHAnsi" w:cstheme="minorBidi"/>
              <w:noProof/>
              <w:lang w:eastAsia="en-AU"/>
            </w:rPr>
          </w:pPr>
          <w:hyperlink w:anchor="_Toc23836333" w:history="1">
            <w:r w:rsidR="00843511" w:rsidRPr="00AC1978">
              <w:rPr>
                <w:rStyle w:val="Hyperlink"/>
                <w:noProof/>
                <w14:scene3d>
                  <w14:camera w14:prst="orthographicFront"/>
                  <w14:lightRig w14:rig="threePt" w14:dir="t">
                    <w14:rot w14:lat="0" w14:lon="0" w14:rev="0"/>
                  </w14:lightRig>
                </w14:scene3d>
              </w:rPr>
              <w:t>3.7.2</w:t>
            </w:r>
            <w:r w:rsidR="00843511">
              <w:rPr>
                <w:rFonts w:asciiTheme="minorHAnsi" w:eastAsiaTheme="minorEastAsia" w:hAnsiTheme="minorHAnsi" w:cstheme="minorBidi"/>
                <w:noProof/>
                <w:lang w:eastAsia="en-AU"/>
              </w:rPr>
              <w:tab/>
            </w:r>
            <w:r w:rsidR="00843511" w:rsidRPr="00AC1978">
              <w:rPr>
                <w:rStyle w:val="Hyperlink"/>
                <w:noProof/>
              </w:rPr>
              <w:t>Training Delivery in Tasmania</w:t>
            </w:r>
            <w:r w:rsidR="00843511">
              <w:rPr>
                <w:noProof/>
                <w:webHidden/>
              </w:rPr>
              <w:tab/>
            </w:r>
            <w:r w:rsidR="00843511">
              <w:rPr>
                <w:noProof/>
                <w:webHidden/>
              </w:rPr>
              <w:fldChar w:fldCharType="begin"/>
            </w:r>
            <w:r w:rsidR="00843511">
              <w:rPr>
                <w:noProof/>
                <w:webHidden/>
              </w:rPr>
              <w:instrText xml:space="preserve"> PAGEREF _Toc23836333 \h </w:instrText>
            </w:r>
            <w:r w:rsidR="00843511">
              <w:rPr>
                <w:noProof/>
                <w:webHidden/>
              </w:rPr>
            </w:r>
            <w:r w:rsidR="00843511">
              <w:rPr>
                <w:noProof/>
                <w:webHidden/>
              </w:rPr>
              <w:fldChar w:fldCharType="separate"/>
            </w:r>
            <w:r>
              <w:rPr>
                <w:noProof/>
                <w:webHidden/>
              </w:rPr>
              <w:t>19</w:t>
            </w:r>
            <w:r w:rsidR="00843511">
              <w:rPr>
                <w:noProof/>
                <w:webHidden/>
              </w:rPr>
              <w:fldChar w:fldCharType="end"/>
            </w:r>
          </w:hyperlink>
        </w:p>
        <w:p w14:paraId="0106A549" w14:textId="6676E717" w:rsidR="00843511" w:rsidRDefault="00ED4593">
          <w:pPr>
            <w:pStyle w:val="TOC1"/>
            <w:rPr>
              <w:rFonts w:asciiTheme="minorHAnsi" w:eastAsiaTheme="minorEastAsia" w:hAnsiTheme="minorHAnsi" w:cstheme="minorBidi"/>
              <w:noProof/>
              <w:lang w:eastAsia="en-AU"/>
            </w:rPr>
          </w:pPr>
          <w:hyperlink w:anchor="_Toc23836334" w:history="1">
            <w:r w:rsidR="00843511" w:rsidRPr="00AC1978">
              <w:rPr>
                <w:rStyle w:val="Hyperlink"/>
                <w:noProof/>
              </w:rPr>
              <w:t>4</w:t>
            </w:r>
            <w:r w:rsidR="00843511">
              <w:rPr>
                <w:rFonts w:asciiTheme="minorHAnsi" w:eastAsiaTheme="minorEastAsia" w:hAnsiTheme="minorHAnsi" w:cstheme="minorBidi"/>
                <w:noProof/>
                <w:lang w:eastAsia="en-AU"/>
              </w:rPr>
              <w:tab/>
            </w:r>
            <w:r w:rsidR="00843511" w:rsidRPr="00AC1978">
              <w:rPr>
                <w:rStyle w:val="Hyperlink"/>
                <w:noProof/>
              </w:rPr>
              <w:t>The Workforce Issues</w:t>
            </w:r>
            <w:r w:rsidR="00843511">
              <w:rPr>
                <w:noProof/>
                <w:webHidden/>
              </w:rPr>
              <w:tab/>
            </w:r>
            <w:r w:rsidR="00843511">
              <w:rPr>
                <w:noProof/>
                <w:webHidden/>
              </w:rPr>
              <w:fldChar w:fldCharType="begin"/>
            </w:r>
            <w:r w:rsidR="00843511">
              <w:rPr>
                <w:noProof/>
                <w:webHidden/>
              </w:rPr>
              <w:instrText xml:space="preserve"> PAGEREF _Toc23836334 \h </w:instrText>
            </w:r>
            <w:r w:rsidR="00843511">
              <w:rPr>
                <w:noProof/>
                <w:webHidden/>
              </w:rPr>
            </w:r>
            <w:r w:rsidR="00843511">
              <w:rPr>
                <w:noProof/>
                <w:webHidden/>
              </w:rPr>
              <w:fldChar w:fldCharType="separate"/>
            </w:r>
            <w:r>
              <w:rPr>
                <w:noProof/>
                <w:webHidden/>
              </w:rPr>
              <w:t>20</w:t>
            </w:r>
            <w:r w:rsidR="00843511">
              <w:rPr>
                <w:noProof/>
                <w:webHidden/>
              </w:rPr>
              <w:fldChar w:fldCharType="end"/>
            </w:r>
          </w:hyperlink>
        </w:p>
        <w:p w14:paraId="76FF9059" w14:textId="70E362B0" w:rsidR="00843511" w:rsidRDefault="00ED4593">
          <w:pPr>
            <w:pStyle w:val="TOC2"/>
            <w:tabs>
              <w:tab w:val="left" w:pos="880"/>
              <w:tab w:val="right" w:leader="dot" w:pos="9621"/>
            </w:tabs>
            <w:rPr>
              <w:rFonts w:asciiTheme="minorHAnsi" w:eastAsiaTheme="minorEastAsia" w:hAnsiTheme="minorHAnsi" w:cstheme="minorBidi"/>
              <w:noProof/>
              <w:lang w:eastAsia="en-AU"/>
            </w:rPr>
          </w:pPr>
          <w:hyperlink w:anchor="_Toc23836335" w:history="1">
            <w:r w:rsidR="00843511" w:rsidRPr="00AC1978">
              <w:rPr>
                <w:rStyle w:val="Hyperlink"/>
                <w:noProof/>
              </w:rPr>
              <w:t>4.1</w:t>
            </w:r>
            <w:r w:rsidR="00843511">
              <w:rPr>
                <w:rFonts w:asciiTheme="minorHAnsi" w:eastAsiaTheme="minorEastAsia" w:hAnsiTheme="minorHAnsi" w:cstheme="minorBidi"/>
                <w:noProof/>
                <w:lang w:eastAsia="en-AU"/>
              </w:rPr>
              <w:tab/>
            </w:r>
            <w:r w:rsidR="00843511" w:rsidRPr="00AC1978">
              <w:rPr>
                <w:rStyle w:val="Hyperlink"/>
                <w:noProof/>
              </w:rPr>
              <w:t>Building Workforce Capability</w:t>
            </w:r>
            <w:r w:rsidR="00843511">
              <w:rPr>
                <w:noProof/>
                <w:webHidden/>
              </w:rPr>
              <w:tab/>
            </w:r>
            <w:r w:rsidR="00843511">
              <w:rPr>
                <w:noProof/>
                <w:webHidden/>
              </w:rPr>
              <w:fldChar w:fldCharType="begin"/>
            </w:r>
            <w:r w:rsidR="00843511">
              <w:rPr>
                <w:noProof/>
                <w:webHidden/>
              </w:rPr>
              <w:instrText xml:space="preserve"> PAGEREF _Toc23836335 \h </w:instrText>
            </w:r>
            <w:r w:rsidR="00843511">
              <w:rPr>
                <w:noProof/>
                <w:webHidden/>
              </w:rPr>
            </w:r>
            <w:r w:rsidR="00843511">
              <w:rPr>
                <w:noProof/>
                <w:webHidden/>
              </w:rPr>
              <w:fldChar w:fldCharType="separate"/>
            </w:r>
            <w:r>
              <w:rPr>
                <w:noProof/>
                <w:webHidden/>
              </w:rPr>
              <w:t>21</w:t>
            </w:r>
            <w:r w:rsidR="00843511">
              <w:rPr>
                <w:noProof/>
                <w:webHidden/>
              </w:rPr>
              <w:fldChar w:fldCharType="end"/>
            </w:r>
          </w:hyperlink>
        </w:p>
        <w:p w14:paraId="45519454" w14:textId="6C09FC4B" w:rsidR="00843511" w:rsidRDefault="00ED4593">
          <w:pPr>
            <w:pStyle w:val="TOC2"/>
            <w:tabs>
              <w:tab w:val="left" w:pos="880"/>
              <w:tab w:val="right" w:leader="dot" w:pos="9621"/>
            </w:tabs>
            <w:rPr>
              <w:rFonts w:asciiTheme="minorHAnsi" w:eastAsiaTheme="minorEastAsia" w:hAnsiTheme="minorHAnsi" w:cstheme="minorBidi"/>
              <w:noProof/>
              <w:lang w:eastAsia="en-AU"/>
            </w:rPr>
          </w:pPr>
          <w:hyperlink w:anchor="_Toc23836336" w:history="1">
            <w:r w:rsidR="00843511" w:rsidRPr="00AC1978">
              <w:rPr>
                <w:rStyle w:val="Hyperlink"/>
                <w:noProof/>
              </w:rPr>
              <w:t>4.2</w:t>
            </w:r>
            <w:r w:rsidR="00843511">
              <w:rPr>
                <w:rFonts w:asciiTheme="minorHAnsi" w:eastAsiaTheme="minorEastAsia" w:hAnsiTheme="minorHAnsi" w:cstheme="minorBidi"/>
                <w:noProof/>
                <w:lang w:eastAsia="en-AU"/>
              </w:rPr>
              <w:tab/>
            </w:r>
            <w:r w:rsidR="00843511" w:rsidRPr="00AC1978">
              <w:rPr>
                <w:rStyle w:val="Hyperlink"/>
                <w:noProof/>
              </w:rPr>
              <w:t>Recruiting and Retaining the Workforce</w:t>
            </w:r>
            <w:r w:rsidR="00843511">
              <w:rPr>
                <w:noProof/>
                <w:webHidden/>
              </w:rPr>
              <w:tab/>
            </w:r>
            <w:r w:rsidR="00843511">
              <w:rPr>
                <w:noProof/>
                <w:webHidden/>
              </w:rPr>
              <w:fldChar w:fldCharType="begin"/>
            </w:r>
            <w:r w:rsidR="00843511">
              <w:rPr>
                <w:noProof/>
                <w:webHidden/>
              </w:rPr>
              <w:instrText xml:space="preserve"> PAGEREF _Toc23836336 \h </w:instrText>
            </w:r>
            <w:r w:rsidR="00843511">
              <w:rPr>
                <w:noProof/>
                <w:webHidden/>
              </w:rPr>
            </w:r>
            <w:r w:rsidR="00843511">
              <w:rPr>
                <w:noProof/>
                <w:webHidden/>
              </w:rPr>
              <w:fldChar w:fldCharType="separate"/>
            </w:r>
            <w:r>
              <w:rPr>
                <w:noProof/>
                <w:webHidden/>
              </w:rPr>
              <w:t>21</w:t>
            </w:r>
            <w:r w:rsidR="00843511">
              <w:rPr>
                <w:noProof/>
                <w:webHidden/>
              </w:rPr>
              <w:fldChar w:fldCharType="end"/>
            </w:r>
          </w:hyperlink>
        </w:p>
        <w:p w14:paraId="65B43268" w14:textId="426CF77E" w:rsidR="00843511" w:rsidRDefault="00ED4593">
          <w:pPr>
            <w:pStyle w:val="TOC1"/>
            <w:rPr>
              <w:rFonts w:asciiTheme="minorHAnsi" w:eastAsiaTheme="minorEastAsia" w:hAnsiTheme="minorHAnsi" w:cstheme="minorBidi"/>
              <w:noProof/>
              <w:lang w:eastAsia="en-AU"/>
            </w:rPr>
          </w:pPr>
          <w:hyperlink w:anchor="_Toc23836337" w:history="1">
            <w:r w:rsidR="00843511" w:rsidRPr="00AC1978">
              <w:rPr>
                <w:rStyle w:val="Hyperlink"/>
                <w:noProof/>
              </w:rPr>
              <w:t>Attachment A – Industry Stakeholders</w:t>
            </w:r>
            <w:r w:rsidR="00843511">
              <w:rPr>
                <w:noProof/>
                <w:webHidden/>
              </w:rPr>
              <w:tab/>
            </w:r>
            <w:r w:rsidR="00843511">
              <w:rPr>
                <w:noProof/>
                <w:webHidden/>
              </w:rPr>
              <w:fldChar w:fldCharType="begin"/>
            </w:r>
            <w:r w:rsidR="00843511">
              <w:rPr>
                <w:noProof/>
                <w:webHidden/>
              </w:rPr>
              <w:instrText xml:space="preserve"> PAGEREF _Toc23836337 \h </w:instrText>
            </w:r>
            <w:r w:rsidR="00843511">
              <w:rPr>
                <w:noProof/>
                <w:webHidden/>
              </w:rPr>
            </w:r>
            <w:r w:rsidR="00843511">
              <w:rPr>
                <w:noProof/>
                <w:webHidden/>
              </w:rPr>
              <w:fldChar w:fldCharType="separate"/>
            </w:r>
            <w:r>
              <w:rPr>
                <w:noProof/>
                <w:webHidden/>
              </w:rPr>
              <w:t>24</w:t>
            </w:r>
            <w:r w:rsidR="00843511">
              <w:rPr>
                <w:noProof/>
                <w:webHidden/>
              </w:rPr>
              <w:fldChar w:fldCharType="end"/>
            </w:r>
          </w:hyperlink>
        </w:p>
        <w:p w14:paraId="4CFE9C18" w14:textId="0F5BCAF1" w:rsidR="00843511" w:rsidRDefault="00ED4593">
          <w:pPr>
            <w:pStyle w:val="TOC1"/>
            <w:rPr>
              <w:rFonts w:asciiTheme="minorHAnsi" w:eastAsiaTheme="minorEastAsia" w:hAnsiTheme="minorHAnsi" w:cstheme="minorBidi"/>
              <w:noProof/>
              <w:lang w:eastAsia="en-AU"/>
            </w:rPr>
          </w:pPr>
          <w:hyperlink w:anchor="_Toc23836338" w:history="1">
            <w:r w:rsidR="00843511" w:rsidRPr="00AC1978">
              <w:rPr>
                <w:rStyle w:val="Hyperlink"/>
                <w:noProof/>
              </w:rPr>
              <w:t>Attachment B – Survey Questions</w:t>
            </w:r>
            <w:r w:rsidR="00843511">
              <w:rPr>
                <w:noProof/>
                <w:webHidden/>
              </w:rPr>
              <w:tab/>
            </w:r>
            <w:r w:rsidR="00843511">
              <w:rPr>
                <w:noProof/>
                <w:webHidden/>
              </w:rPr>
              <w:fldChar w:fldCharType="begin"/>
            </w:r>
            <w:r w:rsidR="00843511">
              <w:rPr>
                <w:noProof/>
                <w:webHidden/>
              </w:rPr>
              <w:instrText xml:space="preserve"> PAGEREF _Toc23836338 \h </w:instrText>
            </w:r>
            <w:r w:rsidR="00843511">
              <w:rPr>
                <w:noProof/>
                <w:webHidden/>
              </w:rPr>
            </w:r>
            <w:r w:rsidR="00843511">
              <w:rPr>
                <w:noProof/>
                <w:webHidden/>
              </w:rPr>
              <w:fldChar w:fldCharType="separate"/>
            </w:r>
            <w:r>
              <w:rPr>
                <w:noProof/>
                <w:webHidden/>
              </w:rPr>
              <w:t>25</w:t>
            </w:r>
            <w:r w:rsidR="00843511">
              <w:rPr>
                <w:noProof/>
                <w:webHidden/>
              </w:rPr>
              <w:fldChar w:fldCharType="end"/>
            </w:r>
          </w:hyperlink>
        </w:p>
        <w:p w14:paraId="5EB7162A" w14:textId="453CB71E" w:rsidR="00843511" w:rsidRDefault="00ED4593">
          <w:pPr>
            <w:pStyle w:val="TOC1"/>
            <w:rPr>
              <w:rFonts w:asciiTheme="minorHAnsi" w:eastAsiaTheme="minorEastAsia" w:hAnsiTheme="minorHAnsi" w:cstheme="minorBidi"/>
              <w:noProof/>
              <w:lang w:eastAsia="en-AU"/>
            </w:rPr>
          </w:pPr>
          <w:hyperlink w:anchor="_Toc23836339" w:history="1">
            <w:r w:rsidR="00843511" w:rsidRPr="00AC1978">
              <w:rPr>
                <w:rStyle w:val="Hyperlink"/>
                <w:noProof/>
              </w:rPr>
              <w:t>Attachment C – Occupations</w:t>
            </w:r>
            <w:r w:rsidR="00843511">
              <w:rPr>
                <w:noProof/>
                <w:webHidden/>
              </w:rPr>
              <w:tab/>
            </w:r>
            <w:r w:rsidR="00843511">
              <w:rPr>
                <w:noProof/>
                <w:webHidden/>
              </w:rPr>
              <w:fldChar w:fldCharType="begin"/>
            </w:r>
            <w:r w:rsidR="00843511">
              <w:rPr>
                <w:noProof/>
                <w:webHidden/>
              </w:rPr>
              <w:instrText xml:space="preserve"> PAGEREF _Toc23836339 \h </w:instrText>
            </w:r>
            <w:r w:rsidR="00843511">
              <w:rPr>
                <w:noProof/>
                <w:webHidden/>
              </w:rPr>
            </w:r>
            <w:r w:rsidR="00843511">
              <w:rPr>
                <w:noProof/>
                <w:webHidden/>
              </w:rPr>
              <w:fldChar w:fldCharType="separate"/>
            </w:r>
            <w:r>
              <w:rPr>
                <w:noProof/>
                <w:webHidden/>
              </w:rPr>
              <w:t>27</w:t>
            </w:r>
            <w:r w:rsidR="00843511">
              <w:rPr>
                <w:noProof/>
                <w:webHidden/>
              </w:rPr>
              <w:fldChar w:fldCharType="end"/>
            </w:r>
          </w:hyperlink>
        </w:p>
        <w:p w14:paraId="30DA341B" w14:textId="3DE7D8D7" w:rsidR="00843511" w:rsidRDefault="00ED4593">
          <w:pPr>
            <w:pStyle w:val="TOC1"/>
            <w:rPr>
              <w:rFonts w:asciiTheme="minorHAnsi" w:eastAsiaTheme="minorEastAsia" w:hAnsiTheme="minorHAnsi" w:cstheme="minorBidi"/>
              <w:noProof/>
              <w:lang w:eastAsia="en-AU"/>
            </w:rPr>
          </w:pPr>
          <w:hyperlink w:anchor="_Toc23836340" w:history="1">
            <w:r w:rsidR="00843511" w:rsidRPr="00AC1978">
              <w:rPr>
                <w:rStyle w:val="Hyperlink"/>
                <w:noProof/>
              </w:rPr>
              <w:t>Bibliography</w:t>
            </w:r>
            <w:r w:rsidR="00843511">
              <w:rPr>
                <w:noProof/>
                <w:webHidden/>
              </w:rPr>
              <w:tab/>
            </w:r>
            <w:r w:rsidR="00843511">
              <w:rPr>
                <w:noProof/>
                <w:webHidden/>
              </w:rPr>
              <w:fldChar w:fldCharType="begin"/>
            </w:r>
            <w:r w:rsidR="00843511">
              <w:rPr>
                <w:noProof/>
                <w:webHidden/>
              </w:rPr>
              <w:instrText xml:space="preserve"> PAGEREF _Toc23836340 \h </w:instrText>
            </w:r>
            <w:r w:rsidR="00843511">
              <w:rPr>
                <w:noProof/>
                <w:webHidden/>
              </w:rPr>
            </w:r>
            <w:r w:rsidR="00843511">
              <w:rPr>
                <w:noProof/>
                <w:webHidden/>
              </w:rPr>
              <w:fldChar w:fldCharType="separate"/>
            </w:r>
            <w:r>
              <w:rPr>
                <w:noProof/>
                <w:webHidden/>
              </w:rPr>
              <w:t>29</w:t>
            </w:r>
            <w:r w:rsidR="00843511">
              <w:rPr>
                <w:noProof/>
                <w:webHidden/>
              </w:rPr>
              <w:fldChar w:fldCharType="end"/>
            </w:r>
          </w:hyperlink>
        </w:p>
        <w:p w14:paraId="17A68C91" w14:textId="2F694274" w:rsidR="00657450" w:rsidRPr="00441621" w:rsidRDefault="00657450" w:rsidP="00657450">
          <w:r w:rsidRPr="00441621">
            <w:rPr>
              <w:b/>
              <w:bCs/>
              <w:noProof/>
            </w:rPr>
            <w:fldChar w:fldCharType="end"/>
          </w:r>
        </w:p>
      </w:sdtContent>
    </w:sdt>
    <w:p w14:paraId="35BF23AD" w14:textId="77777777" w:rsidR="00657450" w:rsidRPr="00441621" w:rsidRDefault="00657450" w:rsidP="00657450"/>
    <w:p w14:paraId="18D211D3" w14:textId="524C75B8" w:rsidR="00394828" w:rsidRPr="00C96E5C" w:rsidRDefault="00394828" w:rsidP="00394828">
      <w:pPr>
        <w:pStyle w:val="UnnumberedHeading1"/>
      </w:pPr>
      <w:bookmarkStart w:id="12" w:name="_Toc22291584"/>
      <w:bookmarkStart w:id="13" w:name="_Toc23836313"/>
      <w:bookmarkStart w:id="14" w:name="_Ref484072056"/>
      <w:r w:rsidRPr="00C96E5C">
        <w:lastRenderedPageBreak/>
        <w:t>Executive Summary</w:t>
      </w:r>
      <w:bookmarkEnd w:id="12"/>
      <w:bookmarkEnd w:id="13"/>
    </w:p>
    <w:p w14:paraId="569A3A0D" w14:textId="1BE79DA4" w:rsidR="00951E6C" w:rsidRDefault="0032479B" w:rsidP="00DB787A">
      <w:r w:rsidRPr="00C96E5C">
        <w:t xml:space="preserve">The mining </w:t>
      </w:r>
      <w:r w:rsidR="00951E6C" w:rsidRPr="00C96E5C">
        <w:t xml:space="preserve">industry </w:t>
      </w:r>
      <w:r w:rsidRPr="00C96E5C">
        <w:t xml:space="preserve">is a vital component to Tasmania’s ongoing economy.  </w:t>
      </w:r>
      <w:r w:rsidR="00951E6C" w:rsidRPr="00C96E5C">
        <w:t>The value of Tasmania’s mining and metallurgical production was $1.82 billion, with mining sites primarily located in the North-West and</w:t>
      </w:r>
      <w:r w:rsidR="00951E6C">
        <w:t xml:space="preserve"> West Coast of Tasmania.</w:t>
      </w:r>
    </w:p>
    <w:p w14:paraId="69B511A5" w14:textId="5FED1D7F" w:rsidR="00951E6C" w:rsidRDefault="00951E6C" w:rsidP="00DB787A">
      <w:r>
        <w:t>It is important to continue to build the mining industry through development of its workforce.  The future holds some uncertainty, with three proposed future mines, though it isn’t clear when or if they will open.  It is also a probability that there will be competition for skilled workers with the ‘Battery of the Nation’ project likely to proceed in the mid-2020’s.</w:t>
      </w:r>
    </w:p>
    <w:p w14:paraId="269168A8" w14:textId="125A26F5" w:rsidR="00951E6C" w:rsidRDefault="00951E6C" w:rsidP="00DB787A">
      <w:r>
        <w:t xml:space="preserve">In order to build the workforce, through addressing its issues and challenges, a snapshot of the current mining workforce needs to be taken.  </w:t>
      </w:r>
      <w:r>
        <w:fldChar w:fldCharType="begin"/>
      </w:r>
      <w:r>
        <w:instrText xml:space="preserve"> REF _Ref18939512 \h </w:instrText>
      </w:r>
      <w:r>
        <w:fldChar w:fldCharType="separate"/>
      </w:r>
      <w:r w:rsidR="00ED4593">
        <w:t xml:space="preserve">Table </w:t>
      </w:r>
      <w:r w:rsidR="00ED4593">
        <w:rPr>
          <w:noProof/>
        </w:rPr>
        <w:t>1</w:t>
      </w:r>
      <w:r>
        <w:fldChar w:fldCharType="end"/>
      </w:r>
      <w:r>
        <w:t xml:space="preserve"> outlines the key findings of the desktop research.</w:t>
      </w:r>
    </w:p>
    <w:p w14:paraId="7DD70401" w14:textId="0A9CCA21" w:rsidR="00A33A38" w:rsidRDefault="00A33A38" w:rsidP="00A33A38">
      <w:pPr>
        <w:pStyle w:val="Caption"/>
      </w:pPr>
      <w:bookmarkStart w:id="15" w:name="_Ref18939512"/>
      <w:r>
        <w:t xml:space="preserve">Table </w:t>
      </w:r>
      <w:r>
        <w:fldChar w:fldCharType="begin"/>
      </w:r>
      <w:r>
        <w:instrText xml:space="preserve"> SEQ Table \* ARABIC </w:instrText>
      </w:r>
      <w:r>
        <w:fldChar w:fldCharType="separate"/>
      </w:r>
      <w:r w:rsidR="00ED4593">
        <w:rPr>
          <w:noProof/>
        </w:rPr>
        <w:t>1</w:t>
      </w:r>
      <w:r>
        <w:fldChar w:fldCharType="end"/>
      </w:r>
      <w:bookmarkEnd w:id="15"/>
      <w:r>
        <w:t>: Mining industry workforce key demographics dashboard</w:t>
      </w:r>
    </w:p>
    <w:tbl>
      <w:tblPr>
        <w:tblStyle w:val="GridTable4-Accent1"/>
        <w:tblW w:w="0" w:type="auto"/>
        <w:tblLook w:val="04A0" w:firstRow="1" w:lastRow="0" w:firstColumn="1" w:lastColumn="0" w:noHBand="0" w:noVBand="1"/>
      </w:tblPr>
      <w:tblGrid>
        <w:gridCol w:w="1555"/>
        <w:gridCol w:w="8066"/>
      </w:tblGrid>
      <w:tr w:rsidR="00F80C8F" w14:paraId="28F20B16" w14:textId="77777777" w:rsidTr="00F80C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5" w:type="dxa"/>
          </w:tcPr>
          <w:p w14:paraId="3E0DC809" w14:textId="77777777" w:rsidR="00F80C8F" w:rsidRDefault="00F80C8F" w:rsidP="00F80C8F">
            <w:pPr>
              <w:pStyle w:val="TableHeading"/>
            </w:pPr>
            <w:r>
              <w:t>Demographics</w:t>
            </w:r>
          </w:p>
        </w:tc>
        <w:tc>
          <w:tcPr>
            <w:tcW w:w="8066" w:type="dxa"/>
          </w:tcPr>
          <w:p w14:paraId="31BFDF9B" w14:textId="77777777" w:rsidR="00F80C8F" w:rsidRDefault="00F80C8F" w:rsidP="00F80C8F">
            <w:pPr>
              <w:pStyle w:val="TableHeading"/>
              <w:cnfStyle w:val="100000000000" w:firstRow="1" w:lastRow="0" w:firstColumn="0" w:lastColumn="0" w:oddVBand="0" w:evenVBand="0" w:oddHBand="0" w:evenHBand="0" w:firstRowFirstColumn="0" w:firstRowLastColumn="0" w:lastRowFirstColumn="0" w:lastRowLastColumn="0"/>
            </w:pPr>
            <w:r>
              <w:t>Key Findings</w:t>
            </w:r>
          </w:p>
        </w:tc>
      </w:tr>
      <w:tr w:rsidR="00F80C8F" w14:paraId="67FF373F" w14:textId="77777777" w:rsidTr="00F80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8A0134C" w14:textId="77777777" w:rsidR="00F80C8F" w:rsidRPr="006344B7" w:rsidRDefault="00F80C8F" w:rsidP="00F80C8F">
            <w:pPr>
              <w:pStyle w:val="TableText"/>
              <w:rPr>
                <w:b w:val="0"/>
                <w:bCs/>
              </w:rPr>
            </w:pPr>
            <w:r>
              <w:rPr>
                <w:b w:val="0"/>
              </w:rPr>
              <w:t>Workforce Size</w:t>
            </w:r>
          </w:p>
        </w:tc>
        <w:tc>
          <w:tcPr>
            <w:tcW w:w="8066" w:type="dxa"/>
          </w:tcPr>
          <w:p w14:paraId="60112F50" w14:textId="77777777" w:rsidR="00F80C8F" w:rsidRDefault="00F80C8F" w:rsidP="00F80C8F">
            <w:pPr>
              <w:pStyle w:val="Tablelistbullet"/>
              <w:numPr>
                <w:ilvl w:val="0"/>
                <w:numId w:val="46"/>
              </w:numPr>
              <w:tabs>
                <w:tab w:val="clear" w:pos="720"/>
                <w:tab w:val="num" w:pos="360"/>
              </w:tabs>
              <w:spacing w:before="120" w:after="120"/>
              <w:ind w:left="360"/>
              <w:cnfStyle w:val="000000100000" w:firstRow="0" w:lastRow="0" w:firstColumn="0" w:lastColumn="0" w:oddVBand="0" w:evenVBand="0" w:oddHBand="1" w:evenHBand="0" w:firstRowFirstColumn="0" w:firstRowLastColumn="0" w:lastRowFirstColumn="0" w:lastRowLastColumn="0"/>
            </w:pPr>
            <w:r>
              <w:t>The current Tasmanian mining workforce is approximately 3790 persons</w:t>
            </w:r>
          </w:p>
          <w:p w14:paraId="0E50EEB3" w14:textId="77777777" w:rsidR="00F80C8F" w:rsidRDefault="00F80C8F" w:rsidP="00F80C8F">
            <w:pPr>
              <w:pStyle w:val="Tablelistbullet"/>
              <w:numPr>
                <w:ilvl w:val="0"/>
                <w:numId w:val="46"/>
              </w:numPr>
              <w:tabs>
                <w:tab w:val="clear" w:pos="720"/>
                <w:tab w:val="num" w:pos="360"/>
              </w:tabs>
              <w:spacing w:before="120" w:after="120"/>
              <w:ind w:left="360"/>
              <w:cnfStyle w:val="000000100000" w:firstRow="0" w:lastRow="0" w:firstColumn="0" w:lastColumn="0" w:oddVBand="0" w:evenVBand="0" w:oddHBand="1" w:evenHBand="0" w:firstRowFirstColumn="0" w:firstRowLastColumn="0" w:lastRowFirstColumn="0" w:lastRowLastColumn="0"/>
            </w:pPr>
            <w:r>
              <w:t>The size of the Tasmanian mining workforce is now approximately the same as it was in 1984, having expanded and contracted multiple times over this time</w:t>
            </w:r>
          </w:p>
          <w:p w14:paraId="51E20C50" w14:textId="77777777" w:rsidR="00F80C8F" w:rsidRDefault="00F80C8F" w:rsidP="00F80C8F">
            <w:pPr>
              <w:pStyle w:val="Tablelistbullet"/>
              <w:numPr>
                <w:ilvl w:val="0"/>
                <w:numId w:val="46"/>
              </w:numPr>
              <w:tabs>
                <w:tab w:val="clear" w:pos="720"/>
                <w:tab w:val="num" w:pos="360"/>
              </w:tabs>
              <w:spacing w:before="120" w:after="120"/>
              <w:ind w:left="360"/>
              <w:cnfStyle w:val="000000100000" w:firstRow="0" w:lastRow="0" w:firstColumn="0" w:lastColumn="0" w:oddVBand="0" w:evenVBand="0" w:oddHBand="1" w:evenHBand="0" w:firstRowFirstColumn="0" w:firstRowLastColumn="0" w:lastRowFirstColumn="0" w:lastRowLastColumn="0"/>
            </w:pPr>
            <w:r>
              <w:t>Several mining companies indicate that they expect their workforce to grow over the next three years</w:t>
            </w:r>
          </w:p>
        </w:tc>
      </w:tr>
      <w:tr w:rsidR="00F80C8F" w14:paraId="2DF899B1" w14:textId="77777777" w:rsidTr="00F80C8F">
        <w:tc>
          <w:tcPr>
            <w:cnfStyle w:val="001000000000" w:firstRow="0" w:lastRow="0" w:firstColumn="1" w:lastColumn="0" w:oddVBand="0" w:evenVBand="0" w:oddHBand="0" w:evenHBand="0" w:firstRowFirstColumn="0" w:firstRowLastColumn="0" w:lastRowFirstColumn="0" w:lastRowLastColumn="0"/>
            <w:tcW w:w="1555" w:type="dxa"/>
          </w:tcPr>
          <w:p w14:paraId="44F75217" w14:textId="77777777" w:rsidR="00F80C8F" w:rsidRDefault="00F80C8F" w:rsidP="00F80C8F">
            <w:pPr>
              <w:pStyle w:val="TableText"/>
              <w:rPr>
                <w:b w:val="0"/>
                <w:bCs/>
              </w:rPr>
            </w:pPr>
            <w:r>
              <w:rPr>
                <w:b w:val="0"/>
              </w:rPr>
              <w:t>Location</w:t>
            </w:r>
          </w:p>
        </w:tc>
        <w:tc>
          <w:tcPr>
            <w:tcW w:w="8066" w:type="dxa"/>
          </w:tcPr>
          <w:p w14:paraId="5F150CE7" w14:textId="77777777" w:rsidR="00F80C8F" w:rsidRDefault="00F80C8F" w:rsidP="00F80C8F">
            <w:pPr>
              <w:pStyle w:val="Tablelistbullet"/>
              <w:numPr>
                <w:ilvl w:val="0"/>
                <w:numId w:val="46"/>
              </w:numPr>
              <w:tabs>
                <w:tab w:val="clear" w:pos="720"/>
                <w:tab w:val="num" w:pos="360"/>
              </w:tabs>
              <w:spacing w:before="120" w:after="120"/>
              <w:ind w:left="360"/>
              <w:cnfStyle w:val="000000000000" w:firstRow="0" w:lastRow="0" w:firstColumn="0" w:lastColumn="0" w:oddVBand="0" w:evenVBand="0" w:oddHBand="0" w:evenHBand="0" w:firstRowFirstColumn="0" w:firstRowLastColumn="0" w:lastRowFirstColumn="0" w:lastRowLastColumn="0"/>
            </w:pPr>
            <w:r>
              <w:t>Nearly all of Tasmania’s mining workforce live in North-West Tasmania</w:t>
            </w:r>
          </w:p>
          <w:p w14:paraId="459CDDDF" w14:textId="77777777" w:rsidR="00F80C8F" w:rsidRDefault="00F80C8F" w:rsidP="00F80C8F">
            <w:pPr>
              <w:pStyle w:val="Tablelistbullet"/>
              <w:numPr>
                <w:ilvl w:val="0"/>
                <w:numId w:val="46"/>
              </w:numPr>
              <w:tabs>
                <w:tab w:val="clear" w:pos="720"/>
                <w:tab w:val="num" w:pos="360"/>
              </w:tabs>
              <w:spacing w:before="120" w:after="120"/>
              <w:ind w:left="360"/>
              <w:cnfStyle w:val="000000000000" w:firstRow="0" w:lastRow="0" w:firstColumn="0" w:lastColumn="0" w:oddVBand="0" w:evenVBand="0" w:oddHBand="0" w:evenHBand="0" w:firstRowFirstColumn="0" w:firstRowLastColumn="0" w:lastRowFirstColumn="0" w:lastRowLastColumn="0"/>
            </w:pPr>
            <w:r>
              <w:t>Nearly half of the mining workforce were employed on the West Coast, though only a one-quarter of the workforce live there</w:t>
            </w:r>
          </w:p>
        </w:tc>
      </w:tr>
      <w:tr w:rsidR="00F80C8F" w14:paraId="58D7BFF9" w14:textId="77777777" w:rsidTr="00F80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52CE16F" w14:textId="77777777" w:rsidR="00F80C8F" w:rsidRDefault="00F80C8F" w:rsidP="00F80C8F">
            <w:pPr>
              <w:pStyle w:val="TableText"/>
              <w:rPr>
                <w:b w:val="0"/>
                <w:bCs/>
              </w:rPr>
            </w:pPr>
            <w:r>
              <w:rPr>
                <w:b w:val="0"/>
              </w:rPr>
              <w:t>Age</w:t>
            </w:r>
          </w:p>
        </w:tc>
        <w:tc>
          <w:tcPr>
            <w:tcW w:w="8066" w:type="dxa"/>
          </w:tcPr>
          <w:p w14:paraId="15D139C4" w14:textId="77777777" w:rsidR="00F80C8F" w:rsidRPr="00C358C4" w:rsidRDefault="00F80C8F" w:rsidP="00F80C8F">
            <w:pPr>
              <w:pStyle w:val="Tablelistbullet"/>
              <w:numPr>
                <w:ilvl w:val="0"/>
                <w:numId w:val="46"/>
              </w:numPr>
              <w:tabs>
                <w:tab w:val="clear" w:pos="720"/>
                <w:tab w:val="num" w:pos="360"/>
              </w:tabs>
              <w:spacing w:before="120" w:after="120"/>
              <w:ind w:left="360"/>
              <w:cnfStyle w:val="000000100000" w:firstRow="0" w:lastRow="0" w:firstColumn="0" w:lastColumn="0" w:oddVBand="0" w:evenVBand="0" w:oddHBand="1" w:evenHBand="0" w:firstRowFirstColumn="0" w:firstRowLastColumn="0" w:lastRowFirstColumn="0" w:lastRowLastColumn="0"/>
              <w:rPr>
                <w:rStyle w:val="word"/>
              </w:rPr>
            </w:pPr>
            <w:r w:rsidRPr="00C358C4">
              <w:rPr>
                <w:rStyle w:val="word"/>
                <w:rFonts w:eastAsia="Cambria"/>
              </w:rPr>
              <w:t xml:space="preserve">The </w:t>
            </w:r>
            <w:r>
              <w:rPr>
                <w:rStyle w:val="word"/>
                <w:rFonts w:eastAsia="Cambria"/>
              </w:rPr>
              <w:t>majority</w:t>
            </w:r>
            <w:r w:rsidRPr="00C358C4">
              <w:rPr>
                <w:rStyle w:val="word"/>
                <w:rFonts w:eastAsia="Cambria"/>
              </w:rPr>
              <w:t xml:space="preserve"> of the </w:t>
            </w:r>
            <w:r>
              <w:rPr>
                <w:rStyle w:val="word"/>
                <w:rFonts w:eastAsia="Cambria"/>
              </w:rPr>
              <w:t>workforce</w:t>
            </w:r>
            <w:r w:rsidRPr="00C358C4">
              <w:rPr>
                <w:rStyle w:val="word"/>
                <w:rFonts w:eastAsia="Cambria"/>
              </w:rPr>
              <w:t xml:space="preserve"> </w:t>
            </w:r>
            <w:r>
              <w:rPr>
                <w:rStyle w:val="word"/>
                <w:rFonts w:eastAsia="Cambria"/>
              </w:rPr>
              <w:t xml:space="preserve">(52%) </w:t>
            </w:r>
            <w:r w:rsidRPr="00C358C4">
              <w:rPr>
                <w:rStyle w:val="word"/>
                <w:rFonts w:eastAsia="Cambria"/>
              </w:rPr>
              <w:t>is</w:t>
            </w:r>
            <w:r>
              <w:rPr>
                <w:rStyle w:val="word"/>
                <w:rFonts w:eastAsia="Cambria"/>
              </w:rPr>
              <w:t xml:space="preserve"> aged</w:t>
            </w:r>
            <w:r w:rsidRPr="00C358C4">
              <w:rPr>
                <w:rStyle w:val="word"/>
                <w:rFonts w:eastAsia="Cambria"/>
              </w:rPr>
              <w:t xml:space="preserve"> between 35 and 54 years old</w:t>
            </w:r>
            <w:r>
              <w:rPr>
                <w:rStyle w:val="word"/>
                <w:rFonts w:eastAsia="Cambria"/>
              </w:rPr>
              <w:t xml:space="preserve"> </w:t>
            </w:r>
          </w:p>
          <w:p w14:paraId="16A1D0E6" w14:textId="77777777" w:rsidR="00F80C8F" w:rsidRDefault="00F80C8F" w:rsidP="00F80C8F">
            <w:pPr>
              <w:pStyle w:val="Tablelistbullet"/>
              <w:numPr>
                <w:ilvl w:val="0"/>
                <w:numId w:val="46"/>
              </w:numPr>
              <w:tabs>
                <w:tab w:val="clear" w:pos="720"/>
                <w:tab w:val="num" w:pos="360"/>
              </w:tabs>
              <w:spacing w:before="120" w:after="120"/>
              <w:ind w:left="360"/>
              <w:cnfStyle w:val="000000100000" w:firstRow="0" w:lastRow="0" w:firstColumn="0" w:lastColumn="0" w:oddVBand="0" w:evenVBand="0" w:oddHBand="1" w:evenHBand="0" w:firstRowFirstColumn="0" w:firstRowLastColumn="0" w:lastRowFirstColumn="0" w:lastRowLastColumn="0"/>
            </w:pPr>
            <w:r>
              <w:t>The Tasmanian mining workforce is older than the broader Australian mining workforce, with the mode average in Tasmania being 45 to 54 years versus 35 to 44 years Australia-wide</w:t>
            </w:r>
          </w:p>
        </w:tc>
      </w:tr>
      <w:tr w:rsidR="00F80C8F" w14:paraId="7DC6D023" w14:textId="77777777" w:rsidTr="00F80C8F">
        <w:tc>
          <w:tcPr>
            <w:cnfStyle w:val="001000000000" w:firstRow="0" w:lastRow="0" w:firstColumn="1" w:lastColumn="0" w:oddVBand="0" w:evenVBand="0" w:oddHBand="0" w:evenHBand="0" w:firstRowFirstColumn="0" w:firstRowLastColumn="0" w:lastRowFirstColumn="0" w:lastRowLastColumn="0"/>
            <w:tcW w:w="1555" w:type="dxa"/>
          </w:tcPr>
          <w:p w14:paraId="67ECAB0A" w14:textId="77777777" w:rsidR="00F80C8F" w:rsidRDefault="00F80C8F" w:rsidP="00F80C8F">
            <w:pPr>
              <w:pStyle w:val="TableText"/>
              <w:rPr>
                <w:b w:val="0"/>
                <w:bCs/>
              </w:rPr>
            </w:pPr>
            <w:r>
              <w:rPr>
                <w:b w:val="0"/>
              </w:rPr>
              <w:t>Gender</w:t>
            </w:r>
          </w:p>
        </w:tc>
        <w:tc>
          <w:tcPr>
            <w:tcW w:w="8066" w:type="dxa"/>
          </w:tcPr>
          <w:p w14:paraId="7D6A9AEF" w14:textId="77777777" w:rsidR="00F80C8F" w:rsidRPr="00B333E9" w:rsidRDefault="00F80C8F" w:rsidP="00F80C8F">
            <w:pPr>
              <w:pStyle w:val="Tablelistbullet"/>
              <w:numPr>
                <w:ilvl w:val="0"/>
                <w:numId w:val="46"/>
              </w:numPr>
              <w:tabs>
                <w:tab w:val="clear" w:pos="720"/>
                <w:tab w:val="num" w:pos="360"/>
              </w:tabs>
              <w:spacing w:before="120" w:after="120"/>
              <w:ind w:left="360"/>
              <w:cnfStyle w:val="000000000000" w:firstRow="0" w:lastRow="0" w:firstColumn="0" w:lastColumn="0" w:oddVBand="0" w:evenVBand="0" w:oddHBand="0" w:evenHBand="0" w:firstRowFirstColumn="0" w:firstRowLastColumn="0" w:lastRowFirstColumn="0" w:lastRowLastColumn="0"/>
            </w:pPr>
            <w:r>
              <w:t>The workforce is predominately male – less than 10% of the workforce are women</w:t>
            </w:r>
          </w:p>
        </w:tc>
      </w:tr>
      <w:tr w:rsidR="00F80C8F" w14:paraId="43EC09E0" w14:textId="77777777" w:rsidTr="00F80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F2BBEBB" w14:textId="77777777" w:rsidR="00F80C8F" w:rsidRDefault="00F80C8F" w:rsidP="00F80C8F">
            <w:pPr>
              <w:pStyle w:val="TableText"/>
              <w:rPr>
                <w:b w:val="0"/>
                <w:bCs/>
              </w:rPr>
            </w:pPr>
            <w:r>
              <w:rPr>
                <w:b w:val="0"/>
              </w:rPr>
              <w:t>Occupation</w:t>
            </w:r>
          </w:p>
        </w:tc>
        <w:tc>
          <w:tcPr>
            <w:tcW w:w="8066" w:type="dxa"/>
          </w:tcPr>
          <w:p w14:paraId="5C40FB0D" w14:textId="77777777" w:rsidR="00F80C8F" w:rsidRDefault="00F80C8F" w:rsidP="00F80C8F">
            <w:pPr>
              <w:pStyle w:val="Tablelistbullet"/>
              <w:numPr>
                <w:ilvl w:val="0"/>
                <w:numId w:val="46"/>
              </w:numPr>
              <w:tabs>
                <w:tab w:val="clear" w:pos="720"/>
                <w:tab w:val="num" w:pos="360"/>
              </w:tabs>
              <w:spacing w:before="120" w:after="120"/>
              <w:ind w:left="360"/>
              <w:cnfStyle w:val="000000100000" w:firstRow="0" w:lastRow="0" w:firstColumn="0" w:lastColumn="0" w:oddVBand="0" w:evenVBand="0" w:oddHBand="1" w:evenHBand="0" w:firstRowFirstColumn="0" w:firstRowLastColumn="0" w:lastRowFirstColumn="0" w:lastRowLastColumn="0"/>
            </w:pPr>
            <w:r>
              <w:t>Machinery operators and drivers together with technicians and trades workers make up 74% of the total mining workforce</w:t>
            </w:r>
          </w:p>
        </w:tc>
      </w:tr>
      <w:tr w:rsidR="00F80C8F" w14:paraId="13F17C25" w14:textId="77777777" w:rsidTr="00F80C8F">
        <w:tc>
          <w:tcPr>
            <w:cnfStyle w:val="001000000000" w:firstRow="0" w:lastRow="0" w:firstColumn="1" w:lastColumn="0" w:oddVBand="0" w:evenVBand="0" w:oddHBand="0" w:evenHBand="0" w:firstRowFirstColumn="0" w:firstRowLastColumn="0" w:lastRowFirstColumn="0" w:lastRowLastColumn="0"/>
            <w:tcW w:w="1555" w:type="dxa"/>
          </w:tcPr>
          <w:p w14:paraId="51439C48" w14:textId="77777777" w:rsidR="00F80C8F" w:rsidRDefault="00F80C8F" w:rsidP="00F80C8F">
            <w:pPr>
              <w:pStyle w:val="TableText"/>
              <w:rPr>
                <w:b w:val="0"/>
                <w:bCs/>
              </w:rPr>
            </w:pPr>
            <w:r>
              <w:rPr>
                <w:b w:val="0"/>
              </w:rPr>
              <w:t>Employment</w:t>
            </w:r>
          </w:p>
        </w:tc>
        <w:tc>
          <w:tcPr>
            <w:tcW w:w="8066" w:type="dxa"/>
          </w:tcPr>
          <w:p w14:paraId="29CF620E" w14:textId="77777777" w:rsidR="00F80C8F" w:rsidRDefault="00F80C8F" w:rsidP="00F80C8F">
            <w:pPr>
              <w:pStyle w:val="Tablelistbullet"/>
              <w:numPr>
                <w:ilvl w:val="0"/>
                <w:numId w:val="46"/>
              </w:numPr>
              <w:tabs>
                <w:tab w:val="clear" w:pos="720"/>
                <w:tab w:val="num" w:pos="360"/>
              </w:tabs>
              <w:spacing w:before="120" w:after="120"/>
              <w:ind w:left="360"/>
              <w:cnfStyle w:val="000000000000" w:firstRow="0" w:lastRow="0" w:firstColumn="0" w:lastColumn="0" w:oddVBand="0" w:evenVBand="0" w:oddHBand="0" w:evenHBand="0" w:firstRowFirstColumn="0" w:firstRowLastColumn="0" w:lastRowFirstColumn="0" w:lastRowLastColumn="0"/>
            </w:pPr>
            <w:r>
              <w:t>The majority (90%) of the workforce were employed full time</w:t>
            </w:r>
          </w:p>
        </w:tc>
      </w:tr>
      <w:tr w:rsidR="00F80C8F" w14:paraId="508EF6CF" w14:textId="77777777" w:rsidTr="00F80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2344EBD" w14:textId="77777777" w:rsidR="00F80C8F" w:rsidRDefault="00F80C8F" w:rsidP="00F80C8F">
            <w:pPr>
              <w:pStyle w:val="TableText"/>
              <w:rPr>
                <w:b w:val="0"/>
                <w:bCs/>
              </w:rPr>
            </w:pPr>
            <w:r>
              <w:rPr>
                <w:b w:val="0"/>
              </w:rPr>
              <w:t>Income</w:t>
            </w:r>
          </w:p>
        </w:tc>
        <w:tc>
          <w:tcPr>
            <w:tcW w:w="8066" w:type="dxa"/>
          </w:tcPr>
          <w:p w14:paraId="1BBD8473" w14:textId="77777777" w:rsidR="00F80C8F" w:rsidRPr="00C358C4" w:rsidRDefault="00F80C8F" w:rsidP="00F80C8F">
            <w:pPr>
              <w:pStyle w:val="Tablelistbullet"/>
              <w:numPr>
                <w:ilvl w:val="0"/>
                <w:numId w:val="46"/>
              </w:numPr>
              <w:tabs>
                <w:tab w:val="clear" w:pos="720"/>
                <w:tab w:val="num" w:pos="360"/>
              </w:tabs>
              <w:spacing w:before="120" w:after="120"/>
              <w:ind w:left="360"/>
              <w:cnfStyle w:val="000000100000" w:firstRow="0" w:lastRow="0" w:firstColumn="0" w:lastColumn="0" w:oddVBand="0" w:evenVBand="0" w:oddHBand="1" w:evenHBand="0" w:firstRowFirstColumn="0" w:firstRowLastColumn="0" w:lastRowFirstColumn="0" w:lastRowLastColumn="0"/>
            </w:pPr>
            <w:r>
              <w:t>The mining workforce in other states have a higher average wage compared to the Tasmanian mining workforce average wage</w:t>
            </w:r>
          </w:p>
        </w:tc>
      </w:tr>
      <w:tr w:rsidR="00F80C8F" w14:paraId="27F84AC3" w14:textId="77777777" w:rsidTr="00F80C8F">
        <w:tc>
          <w:tcPr>
            <w:cnfStyle w:val="001000000000" w:firstRow="0" w:lastRow="0" w:firstColumn="1" w:lastColumn="0" w:oddVBand="0" w:evenVBand="0" w:oddHBand="0" w:evenHBand="0" w:firstRowFirstColumn="0" w:firstRowLastColumn="0" w:lastRowFirstColumn="0" w:lastRowLastColumn="0"/>
            <w:tcW w:w="1555" w:type="dxa"/>
          </w:tcPr>
          <w:p w14:paraId="179F4489" w14:textId="77777777" w:rsidR="00F80C8F" w:rsidRDefault="00F80C8F" w:rsidP="00F80C8F">
            <w:pPr>
              <w:pStyle w:val="TableText"/>
              <w:rPr>
                <w:b w:val="0"/>
                <w:bCs/>
              </w:rPr>
            </w:pPr>
            <w:r>
              <w:rPr>
                <w:b w:val="0"/>
              </w:rPr>
              <w:t>Education and Training</w:t>
            </w:r>
          </w:p>
        </w:tc>
        <w:tc>
          <w:tcPr>
            <w:tcW w:w="8066" w:type="dxa"/>
          </w:tcPr>
          <w:p w14:paraId="5414ED5F" w14:textId="77777777" w:rsidR="00F80C8F" w:rsidRDefault="00F80C8F" w:rsidP="00F80C8F">
            <w:pPr>
              <w:pStyle w:val="Tablelistbullet"/>
              <w:numPr>
                <w:ilvl w:val="0"/>
                <w:numId w:val="46"/>
              </w:numPr>
              <w:tabs>
                <w:tab w:val="clear" w:pos="720"/>
                <w:tab w:val="num" w:pos="360"/>
              </w:tabs>
              <w:spacing w:before="120" w:after="120"/>
              <w:ind w:left="360"/>
              <w:cnfStyle w:val="000000000000" w:firstRow="0" w:lastRow="0" w:firstColumn="0" w:lastColumn="0" w:oddVBand="0" w:evenVBand="0" w:oddHBand="0" w:evenHBand="0" w:firstRowFirstColumn="0" w:firstRowLastColumn="0" w:lastRowFirstColumn="0" w:lastRowLastColumn="0"/>
            </w:pPr>
            <w:r>
              <w:t>While the percentage of the mining workforce that hold a qualification increased between 2011 and 2016 (from 37% to 42%), this still accounts for less than half the workforce</w:t>
            </w:r>
          </w:p>
          <w:p w14:paraId="41E338CB" w14:textId="77777777" w:rsidR="00F80C8F" w:rsidRDefault="00F80C8F" w:rsidP="00F80C8F">
            <w:pPr>
              <w:pStyle w:val="Tablelistbullet"/>
              <w:numPr>
                <w:ilvl w:val="0"/>
                <w:numId w:val="46"/>
              </w:numPr>
              <w:tabs>
                <w:tab w:val="clear" w:pos="720"/>
                <w:tab w:val="num" w:pos="360"/>
              </w:tabs>
              <w:spacing w:before="120" w:after="120"/>
              <w:ind w:left="360"/>
              <w:cnfStyle w:val="000000000000" w:firstRow="0" w:lastRow="0" w:firstColumn="0" w:lastColumn="0" w:oddVBand="0" w:evenVBand="0" w:oddHBand="0" w:evenHBand="0" w:firstRowFirstColumn="0" w:firstRowLastColumn="0" w:lastRowFirstColumn="0" w:lastRowLastColumn="0"/>
            </w:pPr>
            <w:r>
              <w:t>The qualifications held by the workforce are principally vocational, with 75% of the qualifications held being Certificate III and IV level</w:t>
            </w:r>
          </w:p>
          <w:p w14:paraId="45069112" w14:textId="77777777" w:rsidR="00F80C8F" w:rsidRDefault="00F80C8F" w:rsidP="00F80C8F">
            <w:pPr>
              <w:pStyle w:val="Tablelistbullet"/>
              <w:numPr>
                <w:ilvl w:val="0"/>
                <w:numId w:val="46"/>
              </w:numPr>
              <w:tabs>
                <w:tab w:val="clear" w:pos="720"/>
                <w:tab w:val="num" w:pos="360"/>
              </w:tabs>
              <w:spacing w:before="120" w:after="120"/>
              <w:ind w:left="360"/>
              <w:cnfStyle w:val="000000000000" w:firstRow="0" w:lastRow="0" w:firstColumn="0" w:lastColumn="0" w:oddVBand="0" w:evenVBand="0" w:oddHBand="0" w:evenHBand="0" w:firstRowFirstColumn="0" w:firstRowLastColumn="0" w:lastRowFirstColumn="0" w:lastRowLastColumn="0"/>
            </w:pPr>
            <w:r>
              <w:t>The predominant field of qualification (tertiary and vocational combined) in 2016 was in Engineering and Related Technologies</w:t>
            </w:r>
          </w:p>
        </w:tc>
      </w:tr>
    </w:tbl>
    <w:p w14:paraId="369C41C5" w14:textId="5CF76248" w:rsidR="00A33A38" w:rsidRDefault="00A33A38" w:rsidP="00DB787A"/>
    <w:p w14:paraId="198258BF" w14:textId="7EECC063" w:rsidR="00A33A38" w:rsidRPr="00EE054E" w:rsidRDefault="00A33A38" w:rsidP="005D6A4F">
      <w:pPr>
        <w:pStyle w:val="UnnumberedHeading2"/>
        <w:keepNext/>
        <w:rPr>
          <w:highlight w:val="yellow"/>
        </w:rPr>
      </w:pPr>
      <w:r w:rsidRPr="0032479B">
        <w:lastRenderedPageBreak/>
        <w:t>Workforce Issues</w:t>
      </w:r>
      <w:r w:rsidR="0032479B">
        <w:t xml:space="preserve"> and Challenges</w:t>
      </w:r>
    </w:p>
    <w:p w14:paraId="7E76A8F6" w14:textId="788F5940" w:rsidR="00A33A38" w:rsidRDefault="0032479B" w:rsidP="00A33A38">
      <w:r>
        <w:t>Based on the consultation with the Steering Committee and through analysis of the survey, these are the top workforce issues facing the mining industry.</w:t>
      </w:r>
    </w:p>
    <w:p w14:paraId="02921BFF" w14:textId="2BD848BB" w:rsidR="0032479B" w:rsidRDefault="0032479B" w:rsidP="0032479B">
      <w:pPr>
        <w:pStyle w:val="Caption"/>
      </w:pPr>
      <w:r>
        <w:t xml:space="preserve">Figure </w:t>
      </w:r>
      <w:r>
        <w:fldChar w:fldCharType="begin"/>
      </w:r>
      <w:r>
        <w:instrText xml:space="preserve"> SEQ Figure \* ARABIC </w:instrText>
      </w:r>
      <w:r>
        <w:fldChar w:fldCharType="separate"/>
      </w:r>
      <w:r w:rsidR="00ED4593">
        <w:rPr>
          <w:noProof/>
        </w:rPr>
        <w:t>1</w:t>
      </w:r>
      <w:r>
        <w:fldChar w:fldCharType="end"/>
      </w:r>
      <w:r>
        <w:t>: Tasmanian mining industry workforce issues</w:t>
      </w:r>
    </w:p>
    <w:p w14:paraId="725FB465" w14:textId="60D543DF" w:rsidR="0032479B" w:rsidRDefault="0032479B" w:rsidP="00A33A38">
      <w:r>
        <w:rPr>
          <w:noProof/>
        </w:rPr>
        <w:drawing>
          <wp:inline distT="0" distB="0" distL="0" distR="0" wp14:anchorId="7099B9BF" wp14:editId="033061FC">
            <wp:extent cx="6120000" cy="3420000"/>
            <wp:effectExtent l="0" t="19050" r="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E265BE6" w14:textId="34E8A886" w:rsidR="00A33A38" w:rsidRDefault="00A33A38" w:rsidP="009A55D8"/>
    <w:p w14:paraId="10632A0C" w14:textId="29E20F3F" w:rsidR="00E73F4B" w:rsidRDefault="00EE054E" w:rsidP="009A55D8">
      <w:r>
        <w:t xml:space="preserve">Based on these issues, </w:t>
      </w:r>
      <w:r w:rsidR="0032479B">
        <w:t xml:space="preserve">industry </w:t>
      </w:r>
      <w:r>
        <w:t xml:space="preserve">survey respondents </w:t>
      </w:r>
      <w:r w:rsidR="00E73F4B">
        <w:t>indicated that these were the top five workforce challenges facing the mining industry:</w:t>
      </w:r>
    </w:p>
    <w:p w14:paraId="455B71F0" w14:textId="51A10AFA" w:rsidR="00E73F4B" w:rsidRDefault="00E73F4B" w:rsidP="00E73F4B">
      <w:pPr>
        <w:pStyle w:val="ListNumber"/>
      </w:pPr>
      <w:r>
        <w:t>Recruiting new workforce entrants</w:t>
      </w:r>
    </w:p>
    <w:p w14:paraId="602EEBA9" w14:textId="59ACCCF7" w:rsidR="00E73F4B" w:rsidRDefault="00E73F4B" w:rsidP="00E73F4B">
      <w:pPr>
        <w:pStyle w:val="ListNumber"/>
      </w:pPr>
      <w:r>
        <w:t>An ageing workforce</w:t>
      </w:r>
    </w:p>
    <w:p w14:paraId="0313ACAE" w14:textId="50F9837F" w:rsidR="00E73F4B" w:rsidRDefault="00E73F4B" w:rsidP="00E73F4B">
      <w:pPr>
        <w:pStyle w:val="ListNumber"/>
      </w:pPr>
      <w:r>
        <w:t>Low workforce literacy and numeracy skills</w:t>
      </w:r>
    </w:p>
    <w:p w14:paraId="24D45379" w14:textId="1FA2530A" w:rsidR="00E73F4B" w:rsidRDefault="00E73F4B" w:rsidP="00E73F4B">
      <w:pPr>
        <w:pStyle w:val="ListNumber"/>
      </w:pPr>
      <w:r>
        <w:t>Accessing training that fits your business model</w:t>
      </w:r>
    </w:p>
    <w:p w14:paraId="7E713433" w14:textId="2146D472" w:rsidR="00E73F4B" w:rsidRDefault="00E73F4B" w:rsidP="00E73F4B">
      <w:pPr>
        <w:pStyle w:val="ListNumber"/>
      </w:pPr>
      <w:r>
        <w:t>Retaining corporate knowledge</w:t>
      </w:r>
      <w:r w:rsidR="00E02B1E">
        <w:t>.</w:t>
      </w:r>
    </w:p>
    <w:p w14:paraId="5C95EA61" w14:textId="67B1E071" w:rsidR="00EE054E" w:rsidRPr="00A33A38" w:rsidRDefault="00E73F4B" w:rsidP="009A55D8">
      <w:r>
        <w:t xml:space="preserve">Workforce issues and challenges were validated by the Steering Committee, leading to the issues and challenges </w:t>
      </w:r>
      <w:r w:rsidR="0032479B">
        <w:t>investigated and addressed</w:t>
      </w:r>
      <w:r>
        <w:t xml:space="preserve"> in the Workforce Development Plan.</w:t>
      </w:r>
    </w:p>
    <w:p w14:paraId="51B1C008" w14:textId="77777777" w:rsidR="00235276" w:rsidRDefault="00235276" w:rsidP="00DB787A"/>
    <w:p w14:paraId="58A82ABF" w14:textId="3E0BE732" w:rsidR="001C5218" w:rsidRDefault="001C5218" w:rsidP="00280531">
      <w:pPr>
        <w:pStyle w:val="ListBullet"/>
        <w:numPr>
          <w:ilvl w:val="0"/>
          <w:numId w:val="0"/>
        </w:numPr>
        <w:sectPr w:rsidR="001C5218" w:rsidSect="00CD2119">
          <w:headerReference w:type="even" r:id="rId20"/>
          <w:headerReference w:type="default" r:id="rId21"/>
          <w:footerReference w:type="default" r:id="rId22"/>
          <w:headerReference w:type="first" r:id="rId23"/>
          <w:endnotePr>
            <w:numFmt w:val="decimal"/>
          </w:endnotePr>
          <w:pgSz w:w="11899" w:h="16838"/>
          <w:pgMar w:top="1418" w:right="1134" w:bottom="567" w:left="1134" w:header="567" w:footer="851" w:gutter="0"/>
          <w:pgNumType w:fmt="lowerRoman" w:start="1"/>
          <w:cols w:space="708"/>
          <w:titlePg/>
          <w:docGrid w:linePitch="299"/>
        </w:sectPr>
      </w:pPr>
    </w:p>
    <w:p w14:paraId="46A81934" w14:textId="16C47E0A" w:rsidR="00BC0DA2" w:rsidRDefault="00951E6C" w:rsidP="00542889">
      <w:pPr>
        <w:pStyle w:val="Heading1"/>
      </w:pPr>
      <w:bookmarkStart w:id="16" w:name="_Introduction"/>
      <w:bookmarkStart w:id="17" w:name="_Toc487805259"/>
      <w:bookmarkStart w:id="18" w:name="_Toc487807978"/>
      <w:bookmarkStart w:id="19" w:name="_Toc487805260"/>
      <w:bookmarkStart w:id="20" w:name="_Toc487807979"/>
      <w:bookmarkStart w:id="21" w:name="_Workforce_Snapshot"/>
      <w:bookmarkStart w:id="22" w:name="_Toc23836314"/>
      <w:bookmarkStart w:id="23" w:name="_Ref486853396"/>
      <w:bookmarkEnd w:id="14"/>
      <w:bookmarkEnd w:id="16"/>
      <w:bookmarkEnd w:id="17"/>
      <w:bookmarkEnd w:id="18"/>
      <w:bookmarkEnd w:id="19"/>
      <w:bookmarkEnd w:id="20"/>
      <w:bookmarkEnd w:id="21"/>
      <w:r>
        <w:lastRenderedPageBreak/>
        <w:t>Purpose</w:t>
      </w:r>
      <w:bookmarkEnd w:id="22"/>
    </w:p>
    <w:p w14:paraId="4BE74626" w14:textId="10507EB0" w:rsidR="00AD7C68" w:rsidRDefault="00AD7C68" w:rsidP="00AD7C68">
      <w:r>
        <w:t>This document brings together the research undertaken on an environmental scan of the Tasmanian mining industry workforce.  The research findings provide an evidence base for the Workforce Development Plan, as well as identifying potential workforce issues.</w:t>
      </w:r>
    </w:p>
    <w:p w14:paraId="250BF7C3" w14:textId="77777777" w:rsidR="00AD7C68" w:rsidRDefault="00AD7C68" w:rsidP="00AD7C68">
      <w:pPr>
        <w:pStyle w:val="Heading2"/>
      </w:pPr>
      <w:bookmarkStart w:id="24" w:name="_Toc23836315"/>
      <w:r w:rsidRPr="006C7D2C">
        <w:t>Methodology</w:t>
      </w:r>
      <w:bookmarkEnd w:id="24"/>
    </w:p>
    <w:p w14:paraId="4C67064B" w14:textId="690595E6" w:rsidR="00BE04F1" w:rsidRDefault="00BE04F1" w:rsidP="00AD7C68">
      <w:r>
        <w:t xml:space="preserve">The data gathering was initiated at the </w:t>
      </w:r>
      <w:r w:rsidRPr="00BE04F1">
        <w:t xml:space="preserve">initial </w:t>
      </w:r>
      <w:r w:rsidR="00BC3377">
        <w:t>Steering Committee</w:t>
      </w:r>
      <w:r w:rsidRPr="00BE04F1">
        <w:t xml:space="preserve"> meeting</w:t>
      </w:r>
      <w:r>
        <w:t>, where they were asked to provide</w:t>
      </w:r>
      <w:r w:rsidRPr="00BE04F1">
        <w:t xml:space="preserve"> initial views on the key </w:t>
      </w:r>
      <w:r>
        <w:t xml:space="preserve">workforce </w:t>
      </w:r>
      <w:r w:rsidRPr="00BE04F1">
        <w:t xml:space="preserve">issues to be addressed by the WDP.  </w:t>
      </w:r>
    </w:p>
    <w:p w14:paraId="6C3A651F" w14:textId="74B78D50" w:rsidR="00BE04F1" w:rsidRDefault="00BE04F1" w:rsidP="00BE04F1">
      <w:r>
        <w:t xml:space="preserve">Desktop </w:t>
      </w:r>
      <w:r w:rsidRPr="00BE04F1">
        <w:t xml:space="preserve">data collection </w:t>
      </w:r>
      <w:r>
        <w:t xml:space="preserve">was used to </w:t>
      </w:r>
      <w:r w:rsidRPr="00BE04F1">
        <w:t>develop an industry workforce profile (numbers employed, occupations, training undertaken, skills required, issues driving skills needs etc) and an</w:t>
      </w:r>
      <w:r>
        <w:t xml:space="preserve"> industry survey was used to gain further</w:t>
      </w:r>
      <w:r w:rsidRPr="00BE04F1">
        <w:t xml:space="preserve"> understanding of the key workforce issues that need to be addressed by the </w:t>
      </w:r>
      <w:r>
        <w:t>Plan</w:t>
      </w:r>
      <w:r w:rsidRPr="00BE04F1">
        <w:t>.</w:t>
      </w:r>
    </w:p>
    <w:p w14:paraId="3078D142" w14:textId="22BEA119" w:rsidR="00AD7C68" w:rsidRPr="00996F28" w:rsidRDefault="00AD7C68" w:rsidP="00AD7C68">
      <w:r>
        <w:t>The Plan</w:t>
      </w:r>
      <w:r w:rsidRPr="00E55B47">
        <w:t xml:space="preserve"> covers the workforce involved in mineral extraction operations (excluding quarrying operations).  It does not include the workforce involved in stand-alone mineral processing </w:t>
      </w:r>
      <w:r w:rsidR="00800B91" w:rsidRPr="00E55B47">
        <w:t>operations</w:t>
      </w:r>
      <w:r w:rsidR="00800B91">
        <w:t xml:space="preserve">.  However, </w:t>
      </w:r>
      <w:r w:rsidRPr="00E55B47">
        <w:t>the workforce involved in mineral processing operations conducted on a mine site</w:t>
      </w:r>
      <w:r w:rsidR="00800B91">
        <w:t xml:space="preserve"> is in scope</w:t>
      </w:r>
      <w:r w:rsidRPr="00E55B47">
        <w:t>.</w:t>
      </w:r>
    </w:p>
    <w:p w14:paraId="4C615063" w14:textId="41A9B35F" w:rsidR="00AD7C68" w:rsidRDefault="00BC3377" w:rsidP="00177534">
      <w:pPr>
        <w:pStyle w:val="Heading1"/>
      </w:pPr>
      <w:bookmarkStart w:id="25" w:name="_Toc23836316"/>
      <w:r>
        <w:t xml:space="preserve">The Tasmanian Mining </w:t>
      </w:r>
      <w:r w:rsidR="00177534">
        <w:t>Industr</w:t>
      </w:r>
      <w:r>
        <w:t>y</w:t>
      </w:r>
      <w:bookmarkEnd w:id="25"/>
    </w:p>
    <w:p w14:paraId="52FC88E3" w14:textId="7D75641B" w:rsidR="00177534" w:rsidRDefault="00177534" w:rsidP="00177534">
      <w:r w:rsidRPr="00A9065C">
        <w:t xml:space="preserve">Tasmania has </w:t>
      </w:r>
      <w:r>
        <w:t>historically been considered an incredible mineral and geological diverse area and this in turn has made the mining industry diverse.  Tasmania’s major mines produce a range of minerals, including as sliver, tin, magnetite, gold, coal and lead.</w:t>
      </w:r>
      <w:r>
        <w:rPr>
          <w:rStyle w:val="FootnoteReference"/>
        </w:rPr>
        <w:footnoteReference w:id="1"/>
      </w:r>
    </w:p>
    <w:p w14:paraId="3D1C5B22" w14:textId="77777777" w:rsidR="00177534" w:rsidRDefault="00177534" w:rsidP="00177534">
      <w:r>
        <w:t>From an economic perspective, the mining industry is invaluable to Tasmania:</w:t>
      </w:r>
    </w:p>
    <w:p w14:paraId="03E10C0F" w14:textId="77777777" w:rsidR="00177534" w:rsidRDefault="00177534" w:rsidP="00280531">
      <w:pPr>
        <w:pStyle w:val="ListBullet"/>
      </w:pPr>
      <w:r>
        <w:t>In 2014, the mining and mineral sector represented more than 50% of Tasmania’s international earnings from international exports.</w:t>
      </w:r>
      <w:r>
        <w:rPr>
          <w:rStyle w:val="FootnoteReference"/>
        </w:rPr>
        <w:footnoteReference w:id="2"/>
      </w:r>
    </w:p>
    <w:p w14:paraId="6B9853B8" w14:textId="77777777" w:rsidR="00177534" w:rsidRDefault="00177534" w:rsidP="00280531">
      <w:pPr>
        <w:pStyle w:val="ListBullet"/>
      </w:pPr>
      <w:r>
        <w:t>In 2017, the total value of Tasmania’s mining and metallurgical production was $1.82 billion.</w:t>
      </w:r>
      <w:r>
        <w:rPr>
          <w:rStyle w:val="FootnoteReference"/>
        </w:rPr>
        <w:footnoteReference w:id="3"/>
      </w:r>
    </w:p>
    <w:p w14:paraId="4DD0A37E" w14:textId="77777777" w:rsidR="00177534" w:rsidRDefault="00177534" w:rsidP="00280531">
      <w:pPr>
        <w:pStyle w:val="ListBullet"/>
      </w:pPr>
      <w:r>
        <w:t>In June 2018, Tasmania’s two biggest commodity exports were processed metals and metal products, and ores and concentrates.</w:t>
      </w:r>
      <w:r>
        <w:rPr>
          <w:rStyle w:val="FootnoteReference"/>
        </w:rPr>
        <w:footnoteReference w:id="4"/>
      </w:r>
    </w:p>
    <w:p w14:paraId="581CF71B" w14:textId="77777777" w:rsidR="00177534" w:rsidRDefault="00177534" w:rsidP="00280531">
      <w:pPr>
        <w:pStyle w:val="ListBullet"/>
      </w:pPr>
      <w:r>
        <w:t>In 2019, i</w:t>
      </w:r>
      <w:r w:rsidRPr="009F30EA">
        <w:t xml:space="preserve">t </w:t>
      </w:r>
      <w:r>
        <w:t>was</w:t>
      </w:r>
      <w:r w:rsidRPr="009F30EA">
        <w:t xml:space="preserve"> estimated that the current mining and exploration operations in Tasmania have inground resources worth more than $11 </w:t>
      </w:r>
      <w:r>
        <w:t>b</w:t>
      </w:r>
      <w:r w:rsidRPr="009F30EA">
        <w:t>illion</w:t>
      </w:r>
      <w:r>
        <w:t>, with</w:t>
      </w:r>
      <w:r w:rsidRPr="009F30EA">
        <w:t xml:space="preserve"> 505 mining leases, 102 exploration licences and 14 retention licences </w:t>
      </w:r>
      <w:r>
        <w:t xml:space="preserve">granted </w:t>
      </w:r>
      <w:r w:rsidRPr="009F30EA">
        <w:t>in Tasmania.</w:t>
      </w:r>
      <w:r w:rsidRPr="009F30EA">
        <w:rPr>
          <w:rStyle w:val="FootnoteReference"/>
        </w:rPr>
        <w:footnoteReference w:id="5"/>
      </w:r>
    </w:p>
    <w:p w14:paraId="7FFD8F22" w14:textId="74158A6B" w:rsidR="00310EA5" w:rsidRDefault="00310EA5" w:rsidP="002E5455">
      <w:pPr>
        <w:pStyle w:val="Heading2"/>
        <w:keepNext/>
        <w:ind w:left="578" w:hanging="578"/>
      </w:pPr>
      <w:bookmarkStart w:id="26" w:name="_Toc23836317"/>
      <w:r>
        <w:t xml:space="preserve">Mining </w:t>
      </w:r>
      <w:r w:rsidR="00C27180">
        <w:t>C</w:t>
      </w:r>
      <w:r>
        <w:t>ompanies</w:t>
      </w:r>
      <w:bookmarkStart w:id="27" w:name="_Toc486854732"/>
      <w:bookmarkStart w:id="28" w:name="_Toc486854884"/>
      <w:bookmarkStart w:id="29" w:name="_Toc486854736"/>
      <w:bookmarkStart w:id="30" w:name="_Toc486854888"/>
      <w:bookmarkStart w:id="31" w:name="_Toc476830368"/>
      <w:bookmarkStart w:id="32" w:name="_Toc476838810"/>
      <w:bookmarkStart w:id="33" w:name="_Toc478031558"/>
      <w:bookmarkStart w:id="34" w:name="_Toc486854894"/>
      <w:bookmarkEnd w:id="27"/>
      <w:bookmarkEnd w:id="28"/>
      <w:bookmarkEnd w:id="29"/>
      <w:bookmarkEnd w:id="30"/>
      <w:bookmarkEnd w:id="26"/>
    </w:p>
    <w:p w14:paraId="51EB255F" w14:textId="7AEF1D6D" w:rsidR="001B246D" w:rsidRDefault="00BE04F1" w:rsidP="00C346C6">
      <w:r>
        <w:t xml:space="preserve">As shown in </w:t>
      </w:r>
      <w:r>
        <w:fldChar w:fldCharType="begin"/>
      </w:r>
      <w:r>
        <w:instrText xml:space="preserve"> REF _Ref17381207 \h </w:instrText>
      </w:r>
      <w:r>
        <w:fldChar w:fldCharType="separate"/>
      </w:r>
      <w:r w:rsidR="00ED4593">
        <w:t xml:space="preserve">Figure </w:t>
      </w:r>
      <w:r w:rsidR="00ED4593">
        <w:rPr>
          <w:noProof/>
        </w:rPr>
        <w:t>2</w:t>
      </w:r>
      <w:r>
        <w:fldChar w:fldCharType="end"/>
      </w:r>
      <w:r>
        <w:t>, there are 14 min</w:t>
      </w:r>
      <w:r w:rsidR="0039111C">
        <w:t>ing</w:t>
      </w:r>
      <w:r>
        <w:t xml:space="preserve"> operations across Tasmania.  Of these 14 mines, two </w:t>
      </w:r>
      <w:r w:rsidR="00332EE8">
        <w:t>were in</w:t>
      </w:r>
      <w:r>
        <w:t xml:space="preserve"> care and maintenance</w:t>
      </w:r>
      <w:r w:rsidR="00332EE8">
        <w:t xml:space="preserve"> in 2019</w:t>
      </w:r>
      <w:r w:rsidR="0039111C">
        <w:t>, meaning that the workforce data will relate to 12 mining operations</w:t>
      </w:r>
      <w:r>
        <w:t xml:space="preserve">.  The mines are </w:t>
      </w:r>
      <w:r w:rsidR="008762B6">
        <w:t>predominately located</w:t>
      </w:r>
      <w:r>
        <w:t xml:space="preserve"> in </w:t>
      </w:r>
      <w:r w:rsidR="00332EE8">
        <w:t>North-West Tasmania.</w:t>
      </w:r>
    </w:p>
    <w:p w14:paraId="4C31402E" w14:textId="7D1CD4E6" w:rsidR="00BC3C78" w:rsidRDefault="00BC3C78" w:rsidP="004D69C8">
      <w:pPr>
        <w:pStyle w:val="Caption"/>
        <w:ind w:left="0" w:firstLine="0"/>
      </w:pPr>
      <w:bookmarkStart w:id="35" w:name="_Ref17381207"/>
      <w:r>
        <w:lastRenderedPageBreak/>
        <w:t xml:space="preserve">Figure </w:t>
      </w:r>
      <w:r w:rsidR="00ED5BF8">
        <w:fldChar w:fldCharType="begin"/>
      </w:r>
      <w:r w:rsidR="00ED5BF8">
        <w:instrText xml:space="preserve"> SEQ Figure \* ARABIC </w:instrText>
      </w:r>
      <w:r w:rsidR="00ED5BF8">
        <w:fldChar w:fldCharType="separate"/>
      </w:r>
      <w:r w:rsidR="00ED4593">
        <w:rPr>
          <w:noProof/>
        </w:rPr>
        <w:t>2</w:t>
      </w:r>
      <w:r w:rsidR="00ED5BF8">
        <w:fldChar w:fldCharType="end"/>
      </w:r>
      <w:bookmarkEnd w:id="35"/>
      <w:r>
        <w:t xml:space="preserve">: </w:t>
      </w:r>
      <w:r w:rsidR="00332EE8">
        <w:t>Tasmanian m</w:t>
      </w:r>
      <w:r>
        <w:t xml:space="preserve">ining </w:t>
      </w:r>
      <w:r w:rsidR="00332EE8">
        <w:t>operations</w:t>
      </w:r>
      <w:r>
        <w:rPr>
          <w:rStyle w:val="FootnoteReference"/>
        </w:rPr>
        <w:footnoteReference w:id="6"/>
      </w:r>
    </w:p>
    <w:p w14:paraId="6501F31E" w14:textId="2729D620" w:rsidR="00C346C6" w:rsidRDefault="00C346C6" w:rsidP="00C346C6">
      <w:r>
        <w:rPr>
          <w:noProof/>
        </w:rPr>
        <w:drawing>
          <wp:inline distT="0" distB="0" distL="0" distR="0" wp14:anchorId="7621A85B" wp14:editId="1DE25BE9">
            <wp:extent cx="5400000" cy="4307767"/>
            <wp:effectExtent l="0" t="0" r="0" b="0"/>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ing Tas Locations.PNG"/>
                    <pic:cNvPicPr/>
                  </pic:nvPicPr>
                  <pic:blipFill>
                    <a:blip r:embed="rId24"/>
                    <a:stretch>
                      <a:fillRect/>
                    </a:stretch>
                  </pic:blipFill>
                  <pic:spPr>
                    <a:xfrm>
                      <a:off x="0" y="0"/>
                      <a:ext cx="5400000" cy="4307767"/>
                    </a:xfrm>
                    <a:prstGeom prst="rect">
                      <a:avLst/>
                    </a:prstGeom>
                  </pic:spPr>
                </pic:pic>
              </a:graphicData>
            </a:graphic>
          </wp:inline>
        </w:drawing>
      </w:r>
    </w:p>
    <w:p w14:paraId="6A8DED70" w14:textId="18665BF5" w:rsidR="00310EA5" w:rsidRDefault="00310EA5" w:rsidP="004D69C8">
      <w:pPr>
        <w:pStyle w:val="Heading2"/>
      </w:pPr>
      <w:bookmarkStart w:id="36" w:name="_Toc23836318"/>
      <w:r w:rsidRPr="00441621">
        <w:t xml:space="preserve">Regional </w:t>
      </w:r>
      <w:r w:rsidR="00C27180">
        <w:t>D</w:t>
      </w:r>
      <w:r w:rsidRPr="00441621">
        <w:t>istribution</w:t>
      </w:r>
      <w:bookmarkEnd w:id="31"/>
      <w:bookmarkEnd w:id="32"/>
      <w:bookmarkEnd w:id="33"/>
      <w:bookmarkEnd w:id="34"/>
      <w:bookmarkEnd w:id="36"/>
    </w:p>
    <w:p w14:paraId="2DD31E51" w14:textId="77777777" w:rsidR="001B246D" w:rsidRDefault="004D69C8" w:rsidP="004D69C8">
      <w:r>
        <w:t xml:space="preserve">Tasmania’s mines </w:t>
      </w:r>
      <w:r w:rsidR="000D3A49">
        <w:t>are</w:t>
      </w:r>
      <w:r w:rsidR="001B246D">
        <w:t xml:space="preserve"> located</w:t>
      </w:r>
      <w:r w:rsidR="000D3A49">
        <w:t xml:space="preserve"> </w:t>
      </w:r>
      <w:r w:rsidR="001B246D">
        <w:t>with</w:t>
      </w:r>
      <w:r w:rsidR="000D3A49">
        <w:t>in</w:t>
      </w:r>
      <w:r>
        <w:t xml:space="preserve"> the </w:t>
      </w:r>
      <w:r w:rsidR="001B246D">
        <w:t>following local government areas:</w:t>
      </w:r>
    </w:p>
    <w:p w14:paraId="10A4A706" w14:textId="5EFE2346" w:rsidR="004D69C8" w:rsidRDefault="004D69C8" w:rsidP="00280531">
      <w:pPr>
        <w:pStyle w:val="ListBullet"/>
      </w:pPr>
      <w:r>
        <w:t>Burnie City</w:t>
      </w:r>
    </w:p>
    <w:p w14:paraId="569C2CB0" w14:textId="77F2E05A" w:rsidR="001B246D" w:rsidRDefault="001B246D" w:rsidP="00280531">
      <w:pPr>
        <w:pStyle w:val="ListBullet"/>
      </w:pPr>
      <w:r>
        <w:t>Break O’Day Council</w:t>
      </w:r>
    </w:p>
    <w:p w14:paraId="02FFD552" w14:textId="74B4B12B" w:rsidR="004D69C8" w:rsidRDefault="004D69C8" w:rsidP="00280531">
      <w:pPr>
        <w:pStyle w:val="ListBullet"/>
      </w:pPr>
      <w:r>
        <w:t>Central Coast Council</w:t>
      </w:r>
    </w:p>
    <w:p w14:paraId="2E5DC4E6" w14:textId="46F92507" w:rsidR="004D69C8" w:rsidRDefault="004D69C8" w:rsidP="00280531">
      <w:pPr>
        <w:pStyle w:val="ListBullet"/>
      </w:pPr>
      <w:r>
        <w:t>Circular Head Council</w:t>
      </w:r>
    </w:p>
    <w:p w14:paraId="69481A88" w14:textId="18859666" w:rsidR="004D69C8" w:rsidRDefault="004D69C8" w:rsidP="00280531">
      <w:pPr>
        <w:pStyle w:val="ListBullet"/>
      </w:pPr>
      <w:r>
        <w:t>Devonport City</w:t>
      </w:r>
    </w:p>
    <w:p w14:paraId="4E6CC206" w14:textId="7373F24F" w:rsidR="004D69C8" w:rsidRDefault="004D69C8" w:rsidP="00280531">
      <w:pPr>
        <w:pStyle w:val="ListBullet"/>
      </w:pPr>
      <w:r>
        <w:t xml:space="preserve">Kentish </w:t>
      </w:r>
      <w:r w:rsidR="000D3A49">
        <w:t>Council</w:t>
      </w:r>
    </w:p>
    <w:p w14:paraId="68DE3481" w14:textId="10B26BD4" w:rsidR="000D3A49" w:rsidRDefault="000D3A49" w:rsidP="00280531">
      <w:pPr>
        <w:pStyle w:val="ListBullet"/>
      </w:pPr>
      <w:r>
        <w:t>Latrobe Council</w:t>
      </w:r>
    </w:p>
    <w:p w14:paraId="0A7C1D2B" w14:textId="68EEF692" w:rsidR="000D3A49" w:rsidRDefault="000D3A49" w:rsidP="00280531">
      <w:pPr>
        <w:pStyle w:val="ListBullet"/>
      </w:pPr>
      <w:r>
        <w:t>Waratah-</w:t>
      </w:r>
      <w:r w:rsidR="0032479B">
        <w:t>Wynyard</w:t>
      </w:r>
      <w:r>
        <w:t xml:space="preserve"> Council</w:t>
      </w:r>
    </w:p>
    <w:p w14:paraId="0E95D529" w14:textId="591360A4" w:rsidR="000D3A49" w:rsidRDefault="000D3A49" w:rsidP="00280531">
      <w:pPr>
        <w:pStyle w:val="ListBullet"/>
      </w:pPr>
      <w:r>
        <w:t xml:space="preserve">West Coast Council. </w:t>
      </w:r>
    </w:p>
    <w:p w14:paraId="3DCDCD7A" w14:textId="0D19E8F6" w:rsidR="001B246D" w:rsidRDefault="001B246D" w:rsidP="00280531">
      <w:pPr>
        <w:pStyle w:val="ListBullet"/>
        <w:numPr>
          <w:ilvl w:val="0"/>
          <w:numId w:val="0"/>
        </w:numPr>
      </w:pPr>
      <w:r>
        <w:t>Excluding Break O’Day Council, these local government areas form the Cradle Coast Region, which is situated in the North West and West Coast of Tasmania.</w:t>
      </w:r>
    </w:p>
    <w:p w14:paraId="05B3C573" w14:textId="5B3B6C61" w:rsidR="00C757C4" w:rsidRDefault="00C757C4" w:rsidP="0075788E">
      <w:pPr>
        <w:pStyle w:val="Heading2"/>
        <w:keepNext/>
        <w:ind w:left="578" w:hanging="578"/>
      </w:pPr>
      <w:bookmarkStart w:id="37" w:name="_Toc23836319"/>
      <w:r>
        <w:lastRenderedPageBreak/>
        <w:t xml:space="preserve">Future </w:t>
      </w:r>
      <w:r w:rsidR="00C27180">
        <w:t>M</w:t>
      </w:r>
      <w:r>
        <w:t xml:space="preserve">ining </w:t>
      </w:r>
      <w:r w:rsidR="00C27180">
        <w:t>P</w:t>
      </w:r>
      <w:r>
        <w:t>rojects</w:t>
      </w:r>
      <w:bookmarkEnd w:id="37"/>
    </w:p>
    <w:p w14:paraId="56455125" w14:textId="774AE73A" w:rsidR="0030137C" w:rsidRDefault="0030137C" w:rsidP="00C757C4">
      <w:r>
        <w:t xml:space="preserve">Office of Coordinating General </w:t>
      </w:r>
      <w:r w:rsidR="004C1C66">
        <w:t>and Mineral Resources Tasmania</w:t>
      </w:r>
      <w:r>
        <w:t xml:space="preserve"> state that there are 3 mines currently under development:</w:t>
      </w:r>
    </w:p>
    <w:p w14:paraId="0CE915AD" w14:textId="2F22B0DE" w:rsidR="0030137C" w:rsidRDefault="0030137C" w:rsidP="00280531">
      <w:pPr>
        <w:pStyle w:val="ListBullet"/>
      </w:pPr>
      <w:r>
        <w:t>Avebury Nickel Mine</w:t>
      </w:r>
      <w:r w:rsidR="000717BB">
        <w:rPr>
          <w:rStyle w:val="FootnoteReference"/>
        </w:rPr>
        <w:footnoteReference w:id="7"/>
      </w:r>
    </w:p>
    <w:p w14:paraId="0FBCB008" w14:textId="38DDBC0E" w:rsidR="0030137C" w:rsidRDefault="0030137C" w:rsidP="00280531">
      <w:pPr>
        <w:pStyle w:val="ListBullet"/>
      </w:pPr>
      <w:r>
        <w:t>Venture Minerals</w:t>
      </w:r>
      <w:r w:rsidR="000717BB">
        <w:rPr>
          <w:rStyle w:val="FootnoteReference"/>
        </w:rPr>
        <w:footnoteReference w:id="8"/>
      </w:r>
    </w:p>
    <w:p w14:paraId="5A800CC8" w14:textId="208041DA" w:rsidR="0030137C" w:rsidRDefault="0030137C" w:rsidP="00280531">
      <w:pPr>
        <w:pStyle w:val="ListBullet"/>
      </w:pPr>
      <w:r>
        <w:t>King Island Scheelite.</w:t>
      </w:r>
      <w:r w:rsidR="000717BB">
        <w:rPr>
          <w:rStyle w:val="FootnoteReference"/>
        </w:rPr>
        <w:footnoteReference w:id="9"/>
      </w:r>
    </w:p>
    <w:p w14:paraId="793B7D2A" w14:textId="56FCD7A2" w:rsidR="0030137C" w:rsidRDefault="0030137C" w:rsidP="0030137C">
      <w:r>
        <w:t xml:space="preserve">All 3 </w:t>
      </w:r>
      <w:r w:rsidR="00332EE8">
        <w:t xml:space="preserve">potential </w:t>
      </w:r>
      <w:r>
        <w:t xml:space="preserve">mines </w:t>
      </w:r>
      <w:r w:rsidR="00332EE8">
        <w:t>are in North-West Tasmania</w:t>
      </w:r>
      <w:r>
        <w:t xml:space="preserve">. </w:t>
      </w:r>
      <w:r w:rsidR="00332EE8">
        <w:t xml:space="preserve"> </w:t>
      </w:r>
      <w:r>
        <w:t>Whil</w:t>
      </w:r>
      <w:r w:rsidR="005A39D2">
        <w:t>e</w:t>
      </w:r>
      <w:r>
        <w:t xml:space="preserve"> these mines are under development</w:t>
      </w:r>
      <w:r w:rsidR="004C1C66">
        <w:t>, there are no definitive start dates,</w:t>
      </w:r>
      <w:r w:rsidR="002644AB">
        <w:t xml:space="preserve"> numerous</w:t>
      </w:r>
      <w:r w:rsidR="004C1C66">
        <w:t xml:space="preserve"> conditions need to be met, and </w:t>
      </w:r>
      <w:r w:rsidR="005A39D2">
        <w:t xml:space="preserve">several </w:t>
      </w:r>
      <w:r w:rsidR="004C1C66">
        <w:t>financial issues</w:t>
      </w:r>
      <w:r w:rsidR="002644AB">
        <w:t xml:space="preserve"> have arisen</w:t>
      </w:r>
      <w:r w:rsidR="004C1C66">
        <w:t>.</w:t>
      </w:r>
    </w:p>
    <w:p w14:paraId="46CD9E44" w14:textId="24FA65C5" w:rsidR="00C757C4" w:rsidRDefault="00C757C4" w:rsidP="00C757C4">
      <w:pPr>
        <w:pStyle w:val="Heading2"/>
      </w:pPr>
      <w:bookmarkStart w:id="38" w:name="_Toc23836320"/>
      <w:r>
        <w:t xml:space="preserve">Competition </w:t>
      </w:r>
      <w:r w:rsidR="00C27180">
        <w:t>F</w:t>
      </w:r>
      <w:r>
        <w:t>actors</w:t>
      </w:r>
      <w:bookmarkEnd w:id="38"/>
    </w:p>
    <w:p w14:paraId="225B0460" w14:textId="6F86CCEF" w:rsidR="00DC5F43" w:rsidRDefault="004C1C66" w:rsidP="00315078">
      <w:r>
        <w:t xml:space="preserve">Hydro Tasmania </w:t>
      </w:r>
      <w:r w:rsidR="006A1C89">
        <w:t xml:space="preserve">is in the initial stages of a </w:t>
      </w:r>
      <w:r w:rsidR="00DC5F43">
        <w:t xml:space="preserve">new hydro power generation project called ‘Battery of the Nation’. </w:t>
      </w:r>
      <w:r w:rsidR="006A1C89">
        <w:t xml:space="preserve"> </w:t>
      </w:r>
      <w:r w:rsidR="00DC5F43">
        <w:t>Hydro Tasmania has ascertained</w:t>
      </w:r>
      <w:r>
        <w:t xml:space="preserve"> three sites for potential hydro options.</w:t>
      </w:r>
      <w:r>
        <w:rPr>
          <w:rStyle w:val="FootnoteReference"/>
        </w:rPr>
        <w:footnoteReference w:id="10"/>
      </w:r>
      <w:r w:rsidR="00095BAD">
        <w:t xml:space="preserve"> </w:t>
      </w:r>
      <w:r>
        <w:t xml:space="preserve"> Two of the three</w:t>
      </w:r>
      <w:r w:rsidR="006D2D1D">
        <w:t xml:space="preserve"> potential sites are located within the Cradle Coast Authority area.</w:t>
      </w:r>
    </w:p>
    <w:p w14:paraId="779F11EF" w14:textId="3C527233" w:rsidR="004C1C66" w:rsidRDefault="006D2D1D" w:rsidP="00315078">
      <w:r>
        <w:t xml:space="preserve">Hydro Tasmania’s modelling suggests that Battery of the Nation initiative </w:t>
      </w:r>
      <w:r w:rsidR="006A1C89">
        <w:t>could</w:t>
      </w:r>
      <w:r>
        <w:t xml:space="preserve"> create thousands of jobs in regional Tasmania over </w:t>
      </w:r>
      <w:r w:rsidR="006A1C89">
        <w:t xml:space="preserve">the next </w:t>
      </w:r>
      <w:r>
        <w:t>10 to 15 years.</w:t>
      </w:r>
      <w:r>
        <w:rPr>
          <w:rStyle w:val="FootnoteReference"/>
        </w:rPr>
        <w:footnoteReference w:id="11"/>
      </w:r>
      <w:r w:rsidR="006A1C89">
        <w:t xml:space="preserve"> </w:t>
      </w:r>
      <w:r w:rsidR="00DC5F43">
        <w:t xml:space="preserve"> This would </w:t>
      </w:r>
      <w:r w:rsidR="006A1C89">
        <w:t>create</w:t>
      </w:r>
      <w:r w:rsidR="00DC5F43">
        <w:t xml:space="preserve"> potential competition in the job market between </w:t>
      </w:r>
      <w:r w:rsidR="006A1C89">
        <w:t xml:space="preserve">the </w:t>
      </w:r>
      <w:r w:rsidR="00DC5F43">
        <w:t xml:space="preserve">new hydro projects and existing mining </w:t>
      </w:r>
      <w:r w:rsidR="006A1C89">
        <w:t>workforce</w:t>
      </w:r>
      <w:r w:rsidR="00DC5F43">
        <w:t>.</w:t>
      </w:r>
    </w:p>
    <w:p w14:paraId="472F176D" w14:textId="41F3ED50" w:rsidR="0052712E" w:rsidRPr="0052712E" w:rsidRDefault="00BF6E77" w:rsidP="0068767B">
      <w:r>
        <w:t>Project Marinus is investigating the potential for a</w:t>
      </w:r>
      <w:r w:rsidR="0052712E" w:rsidRPr="0052712E">
        <w:t xml:space="preserve"> second </w:t>
      </w:r>
      <w:r>
        <w:t>Bass Strait electricity</w:t>
      </w:r>
      <w:r w:rsidR="0052712E">
        <w:t>.</w:t>
      </w:r>
      <w:r w:rsidR="0052712E">
        <w:rPr>
          <w:rStyle w:val="FootnoteReference"/>
        </w:rPr>
        <w:footnoteReference w:id="12"/>
      </w:r>
      <w:r>
        <w:t xml:space="preserve"> </w:t>
      </w:r>
      <w:r w:rsidR="0052712E">
        <w:t xml:space="preserve"> </w:t>
      </w:r>
      <w:r>
        <w:t>It is currently halfway through a 2-year Feasibility and Business Case Assessment phase, with definitions and approvals estimated to take another 2 years and delivery to be another estimated 4 to 7 years.</w:t>
      </w:r>
      <w:r w:rsidR="006A1C89">
        <w:t xml:space="preserve"> </w:t>
      </w:r>
      <w:r>
        <w:t xml:space="preserve"> It is estimated to generate at least 500 jobs in Tasmania with the route options likely being in Burnie area or Sheffield area.  </w:t>
      </w:r>
      <w:r w:rsidR="0062030F">
        <w:t>This project would also create an environment where there is competition in the workforce.</w:t>
      </w:r>
      <w:r>
        <w:t xml:space="preserve"> </w:t>
      </w:r>
      <w:r w:rsidR="0062030F">
        <w:t xml:space="preserve"> There is a final report expected by the end of 2019 and a new interconnection is considered to be commercially viable in mid-2020’s.</w:t>
      </w:r>
      <w:r w:rsidR="0062030F">
        <w:rPr>
          <w:rStyle w:val="FootnoteReference"/>
        </w:rPr>
        <w:footnoteReference w:id="13"/>
      </w:r>
    </w:p>
    <w:p w14:paraId="469D72CF" w14:textId="44F55C0D" w:rsidR="00095BAD" w:rsidRDefault="0062030F" w:rsidP="0068767B">
      <w:r w:rsidRPr="0062030F">
        <w:t xml:space="preserve">These projects would </w:t>
      </w:r>
      <w:r w:rsidR="0068767B" w:rsidRPr="0062030F">
        <w:t>enable hundreds of local businesses in regional areas</w:t>
      </w:r>
      <w:r w:rsidRPr="0062030F">
        <w:t xml:space="preserve"> creating growth and potentially attracting a larger workforce.</w:t>
      </w:r>
    </w:p>
    <w:p w14:paraId="659FCEAF" w14:textId="77777777" w:rsidR="003D513A" w:rsidRDefault="003D513A">
      <w:pPr>
        <w:spacing w:before="0" w:after="160" w:line="259" w:lineRule="auto"/>
        <w:rPr>
          <w:rFonts w:eastAsia="Times New Roman"/>
          <w:b/>
          <w:kern w:val="32"/>
          <w:sz w:val="36"/>
          <w:szCs w:val="36"/>
        </w:rPr>
      </w:pPr>
      <w:r>
        <w:br w:type="page"/>
      </w:r>
    </w:p>
    <w:p w14:paraId="041D521F" w14:textId="6F3E003F" w:rsidR="00542889" w:rsidRDefault="009E22D6" w:rsidP="00542889">
      <w:pPr>
        <w:pStyle w:val="Heading1"/>
      </w:pPr>
      <w:bookmarkStart w:id="39" w:name="_Toc23836321"/>
      <w:r>
        <w:lastRenderedPageBreak/>
        <w:t xml:space="preserve">The Current </w:t>
      </w:r>
      <w:r w:rsidR="00323090" w:rsidRPr="003D513A">
        <w:t>Workforce</w:t>
      </w:r>
      <w:bookmarkEnd w:id="23"/>
      <w:bookmarkEnd w:id="39"/>
    </w:p>
    <w:p w14:paraId="02DFF988" w14:textId="6F321860" w:rsidR="009E360F" w:rsidRDefault="0068767B" w:rsidP="0068767B">
      <w:r>
        <w:t>Understanding the profile of the Tasmanian mining workforce is the first step towards developing and implementing successful workforce strategies.  The profile allows a comparison to be made between what the workforce is to what the workforce aims to be, allowing the identification of workforce challenges.</w:t>
      </w:r>
    </w:p>
    <w:p w14:paraId="58E9F57C" w14:textId="6736AFD8" w:rsidR="00A066EC" w:rsidRDefault="00222BD8" w:rsidP="005F3456">
      <w:pPr>
        <w:pStyle w:val="Heading2"/>
      </w:pPr>
      <w:bookmarkStart w:id="40" w:name="_Toc488053896"/>
      <w:bookmarkStart w:id="41" w:name="_Toc486854882"/>
      <w:bookmarkStart w:id="42" w:name="_Toc476838807"/>
      <w:bookmarkStart w:id="43" w:name="_Toc478031555"/>
      <w:bookmarkStart w:id="44" w:name="_Toc23836322"/>
      <w:bookmarkEnd w:id="40"/>
      <w:bookmarkEnd w:id="41"/>
      <w:r w:rsidRPr="00441621">
        <w:t xml:space="preserve">Workforce </w:t>
      </w:r>
      <w:r w:rsidR="00C27180">
        <w:t>S</w:t>
      </w:r>
      <w:r w:rsidRPr="00441621">
        <w:t>ize</w:t>
      </w:r>
      <w:bookmarkEnd w:id="42"/>
      <w:bookmarkEnd w:id="43"/>
      <w:bookmarkEnd w:id="4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21"/>
      </w:tblGrid>
      <w:tr w:rsidR="00280531" w:rsidRPr="00B1794C" w14:paraId="33E8A637" w14:textId="77777777" w:rsidTr="00280531">
        <w:trPr>
          <w:tblHeader/>
        </w:trPr>
        <w:tc>
          <w:tcPr>
            <w:tcW w:w="9621" w:type="dxa"/>
            <w:shd w:val="clear" w:color="auto" w:fill="D9E2F3" w:themeFill="accent5" w:themeFillTint="33"/>
          </w:tcPr>
          <w:p w14:paraId="787176D4" w14:textId="1ED32F21" w:rsidR="00280531" w:rsidRPr="006C2404" w:rsidRDefault="00280531" w:rsidP="00C815D6">
            <w:pPr>
              <w:rPr>
                <w:b/>
                <w:bCs/>
              </w:rPr>
            </w:pPr>
            <w:r w:rsidRPr="006C2404">
              <w:rPr>
                <w:b/>
                <w:bCs/>
              </w:rPr>
              <w:t>Key findings</w:t>
            </w:r>
          </w:p>
        </w:tc>
      </w:tr>
      <w:tr w:rsidR="00B1794C" w:rsidRPr="00B1794C" w14:paraId="166E38F7" w14:textId="77777777" w:rsidTr="00280531">
        <w:tc>
          <w:tcPr>
            <w:tcW w:w="9621" w:type="dxa"/>
            <w:shd w:val="clear" w:color="auto" w:fill="D9E2F3" w:themeFill="accent5" w:themeFillTint="33"/>
          </w:tcPr>
          <w:p w14:paraId="4B69B6C3" w14:textId="77777777" w:rsidR="00F80C8F" w:rsidRDefault="00F80C8F" w:rsidP="00F80C8F">
            <w:pPr>
              <w:pStyle w:val="ListBullet"/>
            </w:pPr>
            <w:r>
              <w:t>The current Tasmanian mining workforce is approximately 3790 persons</w:t>
            </w:r>
          </w:p>
          <w:p w14:paraId="31952584" w14:textId="77777777" w:rsidR="00F80C8F" w:rsidRDefault="00F80C8F" w:rsidP="00F80C8F">
            <w:pPr>
              <w:pStyle w:val="ListBullet"/>
            </w:pPr>
            <w:r>
              <w:t>The size of the Tasmanian mining workforce is now approximately the same as it was in 1984, having expanded and contracted multiple times over this time</w:t>
            </w:r>
          </w:p>
          <w:p w14:paraId="4CE55EAF" w14:textId="41CD0827" w:rsidR="00280531" w:rsidRPr="00B1794C" w:rsidRDefault="00F80C8F" w:rsidP="00F80C8F">
            <w:pPr>
              <w:pStyle w:val="ListBullet"/>
            </w:pPr>
            <w:r>
              <w:t>Several mining companies indicate that they expect their workforce to grow over the next three years</w:t>
            </w:r>
          </w:p>
        </w:tc>
      </w:tr>
    </w:tbl>
    <w:p w14:paraId="79937F52" w14:textId="48BE7255" w:rsidR="00996F28" w:rsidRDefault="00AA06B1" w:rsidP="00156C43">
      <w:r>
        <w:t xml:space="preserve">The </w:t>
      </w:r>
      <w:r w:rsidR="00996F28">
        <w:t>Australia</w:t>
      </w:r>
      <w:r>
        <w:t>n</w:t>
      </w:r>
      <w:r w:rsidR="00996F28">
        <w:t xml:space="preserve"> mining </w:t>
      </w:r>
      <w:r>
        <w:t xml:space="preserve">industry </w:t>
      </w:r>
      <w:r w:rsidR="00996F28">
        <w:t>employ</w:t>
      </w:r>
      <w:r>
        <w:t>ed</w:t>
      </w:r>
      <w:r w:rsidR="00996F28">
        <w:t xml:space="preserve"> approximately 247,500 persons</w:t>
      </w:r>
      <w:r>
        <w:t xml:space="preserve"> in 2019,</w:t>
      </w:r>
      <w:r w:rsidR="00996F28">
        <w:t xml:space="preserve"> which is 1.9% of the total</w:t>
      </w:r>
      <w:r>
        <w:t xml:space="preserve"> Australian</w:t>
      </w:r>
      <w:r w:rsidR="00996F28">
        <w:t xml:space="preserve"> workforce.</w:t>
      </w:r>
      <w:r>
        <w:rPr>
          <w:rStyle w:val="FootnoteReference"/>
        </w:rPr>
        <w:footnoteReference w:id="14"/>
      </w:r>
      <w:r w:rsidR="00996F28">
        <w:t xml:space="preserve"> </w:t>
      </w:r>
      <w:r>
        <w:t xml:space="preserve"> This can be compared to t</w:t>
      </w:r>
      <w:r w:rsidR="00996F28">
        <w:t xml:space="preserve">he Tasmanian mining </w:t>
      </w:r>
      <w:r>
        <w:t xml:space="preserve">industry, which employed </w:t>
      </w:r>
      <w:r w:rsidR="00996F28">
        <w:t>3420 persons</w:t>
      </w:r>
      <w:r>
        <w:t xml:space="preserve"> in 2018 or</w:t>
      </w:r>
      <w:r w:rsidR="00996F28">
        <w:t xml:space="preserve"> 1.4% of the total</w:t>
      </w:r>
      <w:r>
        <w:t xml:space="preserve"> Tasmanian</w:t>
      </w:r>
      <w:r w:rsidR="00996F28">
        <w:t xml:space="preserve"> workforce</w:t>
      </w:r>
      <w:r>
        <w:t>.</w:t>
      </w:r>
      <w:r w:rsidR="00996F28">
        <w:rPr>
          <w:rStyle w:val="FootnoteReference"/>
        </w:rPr>
        <w:footnoteReference w:id="15"/>
      </w:r>
    </w:p>
    <w:p w14:paraId="7BF11FF5" w14:textId="4181E91F" w:rsidR="00F93947" w:rsidRDefault="00F93947" w:rsidP="00156C43">
      <w:r>
        <w:t xml:space="preserve">Survey data </w:t>
      </w:r>
      <w:r w:rsidR="008009A7">
        <w:t>stated</w:t>
      </w:r>
      <w:r>
        <w:t xml:space="preserve"> from the </w:t>
      </w:r>
      <w:r w:rsidR="0039111C">
        <w:t>6</w:t>
      </w:r>
      <w:r>
        <w:t xml:space="preserve"> responses</w:t>
      </w:r>
      <w:r w:rsidR="008009A7">
        <w:t xml:space="preserve"> that</w:t>
      </w:r>
      <w:r>
        <w:t>, as of 30 June 2019</w:t>
      </w:r>
      <w:r w:rsidR="008009A7">
        <w:t>,</w:t>
      </w:r>
      <w:r>
        <w:t xml:space="preserve"> </w:t>
      </w:r>
      <w:r w:rsidR="008009A7">
        <w:t xml:space="preserve">the organisations employed </w:t>
      </w:r>
      <w:r>
        <w:t xml:space="preserve">a </w:t>
      </w:r>
      <w:r w:rsidR="007A7BF6">
        <w:t xml:space="preserve">headcount </w:t>
      </w:r>
      <w:r>
        <w:t xml:space="preserve">of </w:t>
      </w:r>
      <w:r w:rsidR="0039111C">
        <w:t>1895</w:t>
      </w:r>
      <w:r>
        <w:t xml:space="preserve"> employees</w:t>
      </w:r>
      <w:r w:rsidR="0039111C">
        <w:t>, which is an average of 316 employees per mining organisation.  Based on the assumption that there are 12 current mining operations within Tasmania, this means that, based on the survey data, that there is approximately 3790 persons in the workforce.</w:t>
      </w:r>
    </w:p>
    <w:p w14:paraId="3141853E" w14:textId="1F48EB9E" w:rsidR="008009A7" w:rsidRDefault="008009A7" w:rsidP="00156C43">
      <w:r>
        <w:t>In terms of the full time equivalent (FTE) workforce, the survey stated that the 6 organisations employed 1805 FTE workers, which is an average of 301 per organisation.  Again, based on the assumption of 12 current mining operations within Tasmania, this means that there were 3610 FTE positions in the Tasmanian mining workforce.</w:t>
      </w:r>
    </w:p>
    <w:p w14:paraId="492D1794" w14:textId="52640819" w:rsidR="005665AD" w:rsidRDefault="00AA06B1" w:rsidP="00156C43">
      <w:r>
        <w:t xml:space="preserve">The size of the both the Australian and Tasmanian mining workforce </w:t>
      </w:r>
      <w:r w:rsidR="005665AD">
        <w:t xml:space="preserve">have gone through </w:t>
      </w:r>
      <w:r w:rsidR="00E819EC">
        <w:t>several</w:t>
      </w:r>
      <w:r w:rsidR="005665AD">
        <w:t xml:space="preserve"> peaks and troughs</w:t>
      </w:r>
      <w:r w:rsidR="00AE0997">
        <w:t xml:space="preserve"> over the years, as seen in </w:t>
      </w:r>
      <w:r w:rsidR="00AE0997">
        <w:fldChar w:fldCharType="begin"/>
      </w:r>
      <w:r w:rsidR="00AE0997">
        <w:instrText xml:space="preserve"> REF _Ref19174347 \h </w:instrText>
      </w:r>
      <w:r w:rsidR="00AE0997">
        <w:fldChar w:fldCharType="separate"/>
      </w:r>
      <w:r w:rsidR="00ED4593">
        <w:t xml:space="preserve">Figure </w:t>
      </w:r>
      <w:r w:rsidR="00ED4593">
        <w:rPr>
          <w:noProof/>
        </w:rPr>
        <w:t>3</w:t>
      </w:r>
      <w:r w:rsidR="00AE0997">
        <w:fldChar w:fldCharType="end"/>
      </w:r>
      <w:r w:rsidR="00AE0997">
        <w:t>.  Both Australian and Tasmanian workforces went through these peaks and troughs at similar times, however it is the size of the recent workforce growth that separates the Australian mining workforce from Tasmania’s.  The Tasmanian mining workforce has rarely been larger than it was in 1984.  This can be compared to the large percentage growth of the Australian mining workforce, a rise beginning in the early 2000’s.</w:t>
      </w:r>
    </w:p>
    <w:p w14:paraId="77962272" w14:textId="046E8918" w:rsidR="00ED5BF8" w:rsidRDefault="00ED5BF8" w:rsidP="00ED5BF8">
      <w:pPr>
        <w:pStyle w:val="Caption"/>
      </w:pPr>
      <w:bookmarkStart w:id="45" w:name="_Ref19174347"/>
      <w:r>
        <w:lastRenderedPageBreak/>
        <w:t xml:space="preserve">Figure </w:t>
      </w:r>
      <w:r>
        <w:fldChar w:fldCharType="begin"/>
      </w:r>
      <w:r>
        <w:instrText xml:space="preserve"> SEQ Figure \* ARABIC </w:instrText>
      </w:r>
      <w:r>
        <w:fldChar w:fldCharType="separate"/>
      </w:r>
      <w:r w:rsidR="00ED4593">
        <w:rPr>
          <w:noProof/>
        </w:rPr>
        <w:t>3</w:t>
      </w:r>
      <w:r>
        <w:fldChar w:fldCharType="end"/>
      </w:r>
      <w:bookmarkEnd w:id="45"/>
      <w:r>
        <w:t xml:space="preserve">: </w:t>
      </w:r>
      <w:r w:rsidRPr="00323E62">
        <w:t xml:space="preserve">Percentage </w:t>
      </w:r>
      <w:r w:rsidR="00280531">
        <w:t>i</w:t>
      </w:r>
      <w:r w:rsidRPr="00323E62">
        <w:t>ncrease</w:t>
      </w:r>
      <w:r w:rsidR="00280531">
        <w:t xml:space="preserve"> / decrease</w:t>
      </w:r>
      <w:r w:rsidRPr="00323E62">
        <w:t xml:space="preserve"> of </w:t>
      </w:r>
      <w:r w:rsidR="003D513A">
        <w:t xml:space="preserve">mining </w:t>
      </w:r>
      <w:r w:rsidR="00280531">
        <w:t>w</w:t>
      </w:r>
      <w:r w:rsidRPr="00323E62">
        <w:t>orkforce</w:t>
      </w:r>
      <w:r w:rsidR="00280531">
        <w:t xml:space="preserve"> size since 1984</w:t>
      </w:r>
      <w:r w:rsidR="003D513A">
        <w:t xml:space="preserve"> (Australian / Tasmanian)</w:t>
      </w:r>
      <w:r>
        <w:rPr>
          <w:rStyle w:val="FootnoteReference"/>
        </w:rPr>
        <w:footnoteReference w:id="16"/>
      </w:r>
    </w:p>
    <w:p w14:paraId="0831D356" w14:textId="1CE9B739" w:rsidR="00ED5BF8" w:rsidRDefault="00E83E00" w:rsidP="00ED5BF8">
      <w:pPr>
        <w:keepNext/>
      </w:pPr>
      <w:r>
        <w:rPr>
          <w:noProof/>
        </w:rPr>
        <w:drawing>
          <wp:inline distT="0" distB="0" distL="0" distR="0" wp14:anchorId="1BD58753" wp14:editId="7E74EAD7">
            <wp:extent cx="6067425" cy="33002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69811" cy="3301500"/>
                    </a:xfrm>
                    <a:prstGeom prst="rect">
                      <a:avLst/>
                    </a:prstGeom>
                    <a:noFill/>
                  </pic:spPr>
                </pic:pic>
              </a:graphicData>
            </a:graphic>
          </wp:inline>
        </w:drawing>
      </w:r>
    </w:p>
    <w:p w14:paraId="68087984" w14:textId="77777777" w:rsidR="00ED5BF8" w:rsidRPr="00156C43" w:rsidRDefault="00ED5BF8" w:rsidP="00156C43"/>
    <w:p w14:paraId="706AF6AD" w14:textId="389C63E7" w:rsidR="003824E4" w:rsidRDefault="00C27180" w:rsidP="00347BED">
      <w:pPr>
        <w:pStyle w:val="Heading3"/>
      </w:pPr>
      <w:bookmarkStart w:id="46" w:name="_Toc23836323"/>
      <w:bookmarkStart w:id="47" w:name="_Toc486854890"/>
      <w:r>
        <w:t>G</w:t>
      </w:r>
      <w:r w:rsidR="003824E4" w:rsidRPr="00441621">
        <w:t>rowth</w:t>
      </w:r>
      <w:r w:rsidR="002D73A6">
        <w:t xml:space="preserve"> </w:t>
      </w:r>
      <w:r>
        <w:t>C</w:t>
      </w:r>
      <w:r w:rsidR="002D73A6">
        <w:t>ycle</w:t>
      </w:r>
      <w:bookmarkEnd w:id="46"/>
    </w:p>
    <w:p w14:paraId="754D5A45" w14:textId="7D430D90" w:rsidR="00AE0997" w:rsidRDefault="00AE0997" w:rsidP="00347BED">
      <w:bookmarkStart w:id="48" w:name="_Hlk17719857"/>
      <w:r>
        <w:t>The survey indicated that two-thirds of the organisations expect their workforce to grow over the next three years.  This growth will be in the North-West and West Coast of Tasmania.</w:t>
      </w:r>
    </w:p>
    <w:p w14:paraId="5111A819" w14:textId="1D59AF41" w:rsidR="00334EC6" w:rsidRDefault="002D73A6" w:rsidP="0075788E">
      <w:pPr>
        <w:pStyle w:val="Heading2"/>
        <w:pageBreakBefore/>
        <w:ind w:left="578" w:hanging="578"/>
      </w:pPr>
      <w:bookmarkStart w:id="49" w:name="_Toc23836324"/>
      <w:bookmarkStart w:id="50" w:name="_Toc476830369"/>
      <w:bookmarkStart w:id="51" w:name="_Toc476838811"/>
      <w:bookmarkStart w:id="52" w:name="_Toc478031559"/>
      <w:bookmarkStart w:id="53" w:name="_Toc486854893"/>
      <w:bookmarkEnd w:id="48"/>
      <w:r>
        <w:lastRenderedPageBreak/>
        <w:t>Residence</w:t>
      </w:r>
      <w:r w:rsidR="00FA77A8">
        <w:t xml:space="preserve"> and </w:t>
      </w:r>
      <w:r w:rsidR="00C27180">
        <w:t>W</w:t>
      </w:r>
      <w:r w:rsidR="00FA77A8">
        <w:t>orkplace</w:t>
      </w:r>
      <w:bookmarkEnd w:id="4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21"/>
      </w:tblGrid>
      <w:tr w:rsidR="00B9707C" w:rsidRPr="00B1794C" w14:paraId="6C418C92" w14:textId="77777777" w:rsidTr="00B9707C">
        <w:trPr>
          <w:tblHeader/>
        </w:trPr>
        <w:tc>
          <w:tcPr>
            <w:tcW w:w="9621" w:type="dxa"/>
            <w:shd w:val="clear" w:color="auto" w:fill="D9E2F3" w:themeFill="accent5" w:themeFillTint="33"/>
          </w:tcPr>
          <w:p w14:paraId="2A5DD1AC" w14:textId="3B4CAAEC" w:rsidR="00B9707C" w:rsidRPr="001D3919" w:rsidRDefault="00B9707C" w:rsidP="00C815D6">
            <w:pPr>
              <w:rPr>
                <w:b/>
                <w:bCs/>
              </w:rPr>
            </w:pPr>
            <w:r w:rsidRPr="001D3919">
              <w:rPr>
                <w:b/>
                <w:bCs/>
              </w:rPr>
              <w:t xml:space="preserve">Key findings </w:t>
            </w:r>
          </w:p>
        </w:tc>
      </w:tr>
      <w:tr w:rsidR="00347BED" w:rsidRPr="00B1794C" w14:paraId="407FF0B5" w14:textId="77777777" w:rsidTr="00B9707C">
        <w:tc>
          <w:tcPr>
            <w:tcW w:w="9621" w:type="dxa"/>
            <w:shd w:val="clear" w:color="auto" w:fill="D9E2F3" w:themeFill="accent5" w:themeFillTint="33"/>
          </w:tcPr>
          <w:p w14:paraId="27EFCEC3" w14:textId="77777777" w:rsidR="00F80C8F" w:rsidRDefault="00F80C8F" w:rsidP="00F80C8F">
            <w:pPr>
              <w:pStyle w:val="ListBullet"/>
            </w:pPr>
            <w:r>
              <w:t>Nearly all of Tasmania’s mining workforce live in North-West Tasmania</w:t>
            </w:r>
          </w:p>
          <w:p w14:paraId="7A55969D" w14:textId="35DBC83C" w:rsidR="00F75E0B" w:rsidRPr="00B1794C" w:rsidRDefault="00F80C8F" w:rsidP="00F80C8F">
            <w:pPr>
              <w:pStyle w:val="ListBullet"/>
            </w:pPr>
            <w:r>
              <w:t>Nearly half of the mining workforce were employed on the West Coast, though only a one-quarter of the workforce live there</w:t>
            </w:r>
          </w:p>
        </w:tc>
      </w:tr>
    </w:tbl>
    <w:p w14:paraId="6079ED71" w14:textId="084B808C" w:rsidR="007431BC" w:rsidRDefault="007431BC" w:rsidP="00C83FE4">
      <w:r>
        <w:t>There are two types of mining workers:</w:t>
      </w:r>
    </w:p>
    <w:p w14:paraId="38AEF6DF" w14:textId="77777777" w:rsidR="007431BC" w:rsidRPr="00607F83" w:rsidRDefault="007431BC" w:rsidP="007431BC">
      <w:pPr>
        <w:pStyle w:val="ListBullet"/>
      </w:pPr>
      <w:r w:rsidRPr="00607F83">
        <w:rPr>
          <w:b/>
          <w:bCs/>
        </w:rPr>
        <w:t>Local workers</w:t>
      </w:r>
      <w:r>
        <w:t xml:space="preserve"> are</w:t>
      </w:r>
      <w:r w:rsidRPr="00607F83">
        <w:t xml:space="preserve"> employed in area regardless of where they live</w:t>
      </w:r>
      <w:r>
        <w:t>.</w:t>
      </w:r>
    </w:p>
    <w:p w14:paraId="538F39F3" w14:textId="0C42E2B6" w:rsidR="007431BC" w:rsidRDefault="007431BC" w:rsidP="007431BC">
      <w:pPr>
        <w:pStyle w:val="ListBullet"/>
      </w:pPr>
      <w:r w:rsidRPr="00607F83">
        <w:rPr>
          <w:b/>
          <w:bCs/>
        </w:rPr>
        <w:t>Resident worker</w:t>
      </w:r>
      <w:r>
        <w:rPr>
          <w:b/>
          <w:bCs/>
        </w:rPr>
        <w:t>s</w:t>
      </w:r>
      <w:r w:rsidRPr="00607F83">
        <w:t xml:space="preserve"> </w:t>
      </w:r>
      <w:r>
        <w:t>are</w:t>
      </w:r>
      <w:r w:rsidRPr="00607F83">
        <w:t xml:space="preserve"> all employed people in the local area regardless of where they work</w:t>
      </w:r>
      <w:r>
        <w:t>.</w:t>
      </w:r>
    </w:p>
    <w:p w14:paraId="4E6A8ED0" w14:textId="7CC9B035" w:rsidR="005665AD" w:rsidRDefault="00B7467C" w:rsidP="00C83FE4">
      <w:r>
        <w:t xml:space="preserve">Census data </w:t>
      </w:r>
      <w:r w:rsidR="003B65DD">
        <w:t xml:space="preserve">in 2016 </w:t>
      </w:r>
      <w:r>
        <w:t>indicates that 4</w:t>
      </w:r>
      <w:r w:rsidR="00262E59">
        <w:t>5</w:t>
      </w:r>
      <w:r w:rsidR="00BB1817">
        <w:t xml:space="preserve">% </w:t>
      </w:r>
      <w:r>
        <w:t xml:space="preserve">of the mining industry workforce </w:t>
      </w:r>
      <w:r w:rsidR="005665AD">
        <w:t xml:space="preserve">both </w:t>
      </w:r>
      <w:r>
        <w:t>reside and work in the same local government area (LGA) and that 48</w:t>
      </w:r>
      <w:r w:rsidR="005665AD">
        <w:t>%</w:t>
      </w:r>
      <w:r>
        <w:t xml:space="preserve"> work in a different LGA </w:t>
      </w:r>
      <w:r w:rsidR="005665AD">
        <w:t xml:space="preserve">to </w:t>
      </w:r>
      <w:r>
        <w:t>which they live.</w:t>
      </w:r>
      <w:r w:rsidR="005665AD">
        <w:rPr>
          <w:rStyle w:val="FootnoteReference"/>
        </w:rPr>
        <w:footnoteReference w:id="17"/>
      </w:r>
    </w:p>
    <w:p w14:paraId="31EED1AF" w14:textId="1F48EA27" w:rsidR="00372ECD" w:rsidRDefault="005665AD" w:rsidP="0008069B">
      <w:r>
        <w:t>The LGA</w:t>
      </w:r>
      <w:r w:rsidR="0008069B">
        <w:t>’s with the largest percentage of the mining industry workforce are the West Coast (46%), Waratah-Wynyard (27%) and Burnie (13%).  Interestingly, 1% of the mining workforce that lives in Tasmanian works in East Pilbara in Western Australia.</w:t>
      </w:r>
      <w:r w:rsidR="00E83E00">
        <w:rPr>
          <w:rStyle w:val="FootnoteReference"/>
        </w:rPr>
        <w:footnoteReference w:id="18"/>
      </w:r>
    </w:p>
    <w:p w14:paraId="2212AF17" w14:textId="4FC9C1A2" w:rsidR="0008069B" w:rsidRDefault="0008069B" w:rsidP="0008069B">
      <w:pPr>
        <w:pStyle w:val="Caption"/>
      </w:pPr>
      <w:r>
        <w:t>Figure</w:t>
      </w:r>
      <w:r w:rsidR="00406CE0">
        <w:t xml:space="preserve"> </w:t>
      </w:r>
      <w:r w:rsidR="00ED5BF8">
        <w:fldChar w:fldCharType="begin"/>
      </w:r>
      <w:r w:rsidR="00ED5BF8">
        <w:instrText xml:space="preserve"> SEQ Figure \* ARABIC </w:instrText>
      </w:r>
      <w:r w:rsidR="00ED5BF8">
        <w:fldChar w:fldCharType="separate"/>
      </w:r>
      <w:r w:rsidR="00ED4593">
        <w:rPr>
          <w:noProof/>
        </w:rPr>
        <w:t>4</w:t>
      </w:r>
      <w:r w:rsidR="00ED5BF8">
        <w:fldChar w:fldCharType="end"/>
      </w:r>
      <w:r>
        <w:t>: Employment</w:t>
      </w:r>
      <w:r w:rsidRPr="000906C7">
        <w:t xml:space="preserve"> </w:t>
      </w:r>
      <w:r>
        <w:t>l</w:t>
      </w:r>
      <w:r w:rsidRPr="000906C7">
        <w:t xml:space="preserve">ocation of </w:t>
      </w:r>
      <w:r>
        <w:t>the Tasmanian m</w:t>
      </w:r>
      <w:r w:rsidRPr="000906C7">
        <w:t xml:space="preserve">ining </w:t>
      </w:r>
      <w:r>
        <w:t>w</w:t>
      </w:r>
      <w:r w:rsidRPr="000906C7">
        <w:t>orkforce, 2016</w:t>
      </w:r>
      <w:r>
        <w:rPr>
          <w:rStyle w:val="FootnoteReference"/>
          <w:sz w:val="20"/>
          <w:szCs w:val="20"/>
        </w:rPr>
        <w:footnoteReference w:id="19"/>
      </w:r>
    </w:p>
    <w:p w14:paraId="75710EF6" w14:textId="76C0E98D" w:rsidR="00FA77A8" w:rsidRDefault="008762B6" w:rsidP="00C83FE4">
      <w:pPr>
        <w:rPr>
          <w:noProof/>
        </w:rPr>
      </w:pPr>
      <w:r>
        <w:rPr>
          <w:noProof/>
        </w:rPr>
        <w:drawing>
          <wp:inline distT="0" distB="0" distL="0" distR="0" wp14:anchorId="13616298" wp14:editId="62D6C263">
            <wp:extent cx="4987854" cy="296227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95950" cy="2967083"/>
                    </a:xfrm>
                    <a:prstGeom prst="rect">
                      <a:avLst/>
                    </a:prstGeom>
                    <a:noFill/>
                  </pic:spPr>
                </pic:pic>
              </a:graphicData>
            </a:graphic>
          </wp:inline>
        </w:drawing>
      </w:r>
    </w:p>
    <w:p w14:paraId="7964A9C7" w14:textId="3E8C5279" w:rsidR="00BB2987" w:rsidRPr="002C2D68" w:rsidRDefault="006A6BED" w:rsidP="00C83FE4">
      <w:pPr>
        <w:rPr>
          <w:sz w:val="20"/>
          <w:szCs w:val="20"/>
        </w:rPr>
      </w:pPr>
      <w:r w:rsidRPr="002C2D68">
        <w:rPr>
          <w:noProof/>
          <w:sz w:val="20"/>
          <w:szCs w:val="20"/>
        </w:rPr>
        <w:t xml:space="preserve">Note: Figure </w:t>
      </w:r>
      <w:r w:rsidR="00E83E00">
        <w:rPr>
          <w:noProof/>
          <w:sz w:val="20"/>
          <w:szCs w:val="20"/>
        </w:rPr>
        <w:t>3</w:t>
      </w:r>
      <w:r w:rsidR="00215D80">
        <w:rPr>
          <w:noProof/>
          <w:sz w:val="20"/>
          <w:szCs w:val="20"/>
        </w:rPr>
        <w:t xml:space="preserve"> </w:t>
      </w:r>
      <w:r w:rsidRPr="002C2D68">
        <w:rPr>
          <w:sz w:val="20"/>
          <w:szCs w:val="20"/>
        </w:rPr>
        <w:t>excludes employment locations with fewer than 10 people</w:t>
      </w:r>
      <w:r w:rsidR="0008069B">
        <w:rPr>
          <w:sz w:val="20"/>
          <w:szCs w:val="20"/>
        </w:rPr>
        <w:t>.</w:t>
      </w:r>
    </w:p>
    <w:p w14:paraId="16F11175" w14:textId="6172D31D" w:rsidR="0008069B" w:rsidRDefault="0008069B" w:rsidP="008E323F"/>
    <w:p w14:paraId="675F2B5B" w14:textId="498A08CA" w:rsidR="006A6BED" w:rsidRDefault="0008069B" w:rsidP="00C956B3">
      <w:pPr>
        <w:keepNext/>
      </w:pPr>
      <w:r>
        <w:lastRenderedPageBreak/>
        <w:fldChar w:fldCharType="begin"/>
      </w:r>
      <w:r>
        <w:instrText xml:space="preserve"> REF _Ref19006437 \h </w:instrText>
      </w:r>
      <w:r>
        <w:fldChar w:fldCharType="separate"/>
      </w:r>
      <w:r w:rsidR="00ED4593">
        <w:t xml:space="preserve">Figure </w:t>
      </w:r>
      <w:r w:rsidR="00ED4593">
        <w:rPr>
          <w:noProof/>
        </w:rPr>
        <w:t>5</w:t>
      </w:r>
      <w:r>
        <w:fldChar w:fldCharType="end"/>
      </w:r>
      <w:r>
        <w:t xml:space="preserve"> shows</w:t>
      </w:r>
      <w:r w:rsidR="00770E71">
        <w:t xml:space="preserve"> that Tasmania’s mining workforce live in a wider variety of LGA</w:t>
      </w:r>
      <w:r>
        <w:t>’</w:t>
      </w:r>
      <w:r w:rsidR="00770E71">
        <w:t>s compared to their employment locations.</w:t>
      </w:r>
    </w:p>
    <w:p w14:paraId="2AB00D66" w14:textId="468E7C13" w:rsidR="0008069B" w:rsidRDefault="0008069B" w:rsidP="0008069B">
      <w:pPr>
        <w:pStyle w:val="Caption"/>
      </w:pPr>
      <w:bookmarkStart w:id="54" w:name="_Ref19006437"/>
      <w:r>
        <w:t xml:space="preserve">Figure </w:t>
      </w:r>
      <w:r w:rsidR="00ED5BF8">
        <w:fldChar w:fldCharType="begin"/>
      </w:r>
      <w:r w:rsidR="00ED5BF8">
        <w:instrText xml:space="preserve"> SEQ Figure \* ARABIC </w:instrText>
      </w:r>
      <w:r w:rsidR="00ED5BF8">
        <w:fldChar w:fldCharType="separate"/>
      </w:r>
      <w:r w:rsidR="00ED4593">
        <w:rPr>
          <w:noProof/>
        </w:rPr>
        <w:t>5</w:t>
      </w:r>
      <w:r w:rsidR="00ED5BF8">
        <w:fldChar w:fldCharType="end"/>
      </w:r>
      <w:bookmarkEnd w:id="54"/>
      <w:r>
        <w:t xml:space="preserve">: </w:t>
      </w:r>
      <w:r w:rsidRPr="00B65309">
        <w:t>Residential location of TAS mining workforce by LGA, 2016</w:t>
      </w:r>
      <w:r>
        <w:rPr>
          <w:rStyle w:val="FootnoteReference"/>
          <w:sz w:val="20"/>
          <w:szCs w:val="20"/>
        </w:rPr>
        <w:footnoteReference w:id="20"/>
      </w:r>
    </w:p>
    <w:p w14:paraId="770AA19F" w14:textId="49E15C37" w:rsidR="009434E2" w:rsidRPr="00C83FE4" w:rsidRDefault="008762B6" w:rsidP="00C83FE4">
      <w:pPr>
        <w:rPr>
          <w:sz w:val="20"/>
          <w:szCs w:val="20"/>
        </w:rPr>
      </w:pPr>
      <w:r>
        <w:rPr>
          <w:noProof/>
          <w:sz w:val="20"/>
          <w:szCs w:val="20"/>
        </w:rPr>
        <w:drawing>
          <wp:inline distT="0" distB="0" distL="0" distR="0" wp14:anchorId="42DC64CC" wp14:editId="2B37FC5E">
            <wp:extent cx="4981575" cy="3613416"/>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89676" cy="3619292"/>
                    </a:xfrm>
                    <a:prstGeom prst="rect">
                      <a:avLst/>
                    </a:prstGeom>
                    <a:noFill/>
                  </pic:spPr>
                </pic:pic>
              </a:graphicData>
            </a:graphic>
          </wp:inline>
        </w:drawing>
      </w:r>
    </w:p>
    <w:p w14:paraId="10E57573" w14:textId="70A6EC2B" w:rsidR="00BB1817" w:rsidRDefault="006A6BED" w:rsidP="00C83FE4">
      <w:pPr>
        <w:rPr>
          <w:sz w:val="20"/>
          <w:szCs w:val="20"/>
        </w:rPr>
      </w:pPr>
      <w:r w:rsidRPr="002C2D68">
        <w:rPr>
          <w:noProof/>
          <w:sz w:val="20"/>
          <w:szCs w:val="20"/>
        </w:rPr>
        <w:t xml:space="preserve">Note: </w:t>
      </w:r>
      <w:r w:rsidR="00B66B30" w:rsidRPr="003D513A">
        <w:rPr>
          <w:noProof/>
          <w:sz w:val="20"/>
          <w:szCs w:val="20"/>
        </w:rPr>
        <w:fldChar w:fldCharType="begin"/>
      </w:r>
      <w:r w:rsidR="00B66B30" w:rsidRPr="003D513A">
        <w:rPr>
          <w:noProof/>
          <w:sz w:val="20"/>
          <w:szCs w:val="20"/>
        </w:rPr>
        <w:instrText xml:space="preserve"> REF _Ref19006437 \h </w:instrText>
      </w:r>
      <w:r w:rsidR="003D513A">
        <w:rPr>
          <w:noProof/>
          <w:sz w:val="20"/>
          <w:szCs w:val="20"/>
        </w:rPr>
        <w:instrText xml:space="preserve"> \* MERGEFORMAT </w:instrText>
      </w:r>
      <w:r w:rsidR="00B66B30" w:rsidRPr="003D513A">
        <w:rPr>
          <w:noProof/>
          <w:sz w:val="20"/>
          <w:szCs w:val="20"/>
        </w:rPr>
      </w:r>
      <w:r w:rsidR="00B66B30" w:rsidRPr="003D513A">
        <w:rPr>
          <w:noProof/>
          <w:sz w:val="20"/>
          <w:szCs w:val="20"/>
        </w:rPr>
        <w:fldChar w:fldCharType="separate"/>
      </w:r>
      <w:r w:rsidR="00ED4593" w:rsidRPr="00ED4593">
        <w:rPr>
          <w:sz w:val="20"/>
          <w:szCs w:val="20"/>
        </w:rPr>
        <w:t xml:space="preserve">Figure </w:t>
      </w:r>
      <w:r w:rsidR="00ED4593" w:rsidRPr="00ED4593">
        <w:rPr>
          <w:noProof/>
          <w:sz w:val="20"/>
          <w:szCs w:val="20"/>
        </w:rPr>
        <w:t>5</w:t>
      </w:r>
      <w:r w:rsidR="00B66B30" w:rsidRPr="003D513A">
        <w:rPr>
          <w:noProof/>
          <w:sz w:val="20"/>
          <w:szCs w:val="20"/>
        </w:rPr>
        <w:fldChar w:fldCharType="end"/>
      </w:r>
      <w:r w:rsidR="00B66B30" w:rsidRPr="003D513A">
        <w:rPr>
          <w:noProof/>
          <w:sz w:val="20"/>
          <w:szCs w:val="20"/>
        </w:rPr>
        <w:t xml:space="preserve"> </w:t>
      </w:r>
      <w:r w:rsidRPr="003D513A">
        <w:rPr>
          <w:sz w:val="20"/>
          <w:szCs w:val="20"/>
        </w:rPr>
        <w:t>excludes</w:t>
      </w:r>
      <w:r w:rsidRPr="002C2D68">
        <w:rPr>
          <w:sz w:val="20"/>
          <w:szCs w:val="20"/>
        </w:rPr>
        <w:t xml:space="preserve"> employment locations with fewer than 10 people</w:t>
      </w:r>
      <w:r w:rsidR="0005195C">
        <w:rPr>
          <w:sz w:val="20"/>
          <w:szCs w:val="20"/>
        </w:rPr>
        <w:t>.</w:t>
      </w:r>
    </w:p>
    <w:p w14:paraId="5C32263B" w14:textId="324075E3" w:rsidR="00347BED" w:rsidRDefault="00AD7C68" w:rsidP="0075788E">
      <w:pPr>
        <w:pStyle w:val="Heading2"/>
        <w:pageBreakBefore/>
        <w:ind w:left="578" w:hanging="578"/>
      </w:pPr>
      <w:bookmarkStart w:id="55" w:name="_Toc23836325"/>
      <w:r>
        <w:lastRenderedPageBreak/>
        <w:t>Age and Gender</w:t>
      </w:r>
      <w:bookmarkEnd w:id="55"/>
      <w:r w:rsidR="00347BED">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21"/>
      </w:tblGrid>
      <w:tr w:rsidR="0076215D" w:rsidRPr="00B1794C" w14:paraId="779F59DB" w14:textId="77777777" w:rsidTr="0076215D">
        <w:trPr>
          <w:tblHeader/>
        </w:trPr>
        <w:tc>
          <w:tcPr>
            <w:tcW w:w="9621" w:type="dxa"/>
            <w:shd w:val="clear" w:color="auto" w:fill="D9E2F3" w:themeFill="accent5" w:themeFillTint="33"/>
          </w:tcPr>
          <w:p w14:paraId="0F52D418" w14:textId="4D8DF26D" w:rsidR="0076215D" w:rsidRPr="00C815D6" w:rsidRDefault="0076215D" w:rsidP="00C815D6">
            <w:pPr>
              <w:rPr>
                <w:b/>
                <w:bCs/>
              </w:rPr>
            </w:pPr>
            <w:r w:rsidRPr="00C815D6">
              <w:rPr>
                <w:b/>
                <w:bCs/>
              </w:rPr>
              <w:t>Key findings</w:t>
            </w:r>
          </w:p>
        </w:tc>
      </w:tr>
      <w:tr w:rsidR="00C815D6" w:rsidRPr="00B1794C" w14:paraId="06CFC03C" w14:textId="77777777" w:rsidTr="0076215D">
        <w:tc>
          <w:tcPr>
            <w:tcW w:w="9621" w:type="dxa"/>
            <w:shd w:val="clear" w:color="auto" w:fill="D9E2F3" w:themeFill="accent5" w:themeFillTint="33"/>
          </w:tcPr>
          <w:p w14:paraId="0B62F846" w14:textId="77777777" w:rsidR="00F80C8F" w:rsidRDefault="00F80C8F" w:rsidP="00F80C8F">
            <w:pPr>
              <w:pStyle w:val="ListBullet"/>
            </w:pPr>
            <w:r>
              <w:t xml:space="preserve">The majority of the workforce (52%) is aged between 35 and 54 years old </w:t>
            </w:r>
          </w:p>
          <w:p w14:paraId="75425B27" w14:textId="77777777" w:rsidR="00917011" w:rsidRDefault="00F80C8F" w:rsidP="00F80C8F">
            <w:pPr>
              <w:pStyle w:val="ListBullet"/>
            </w:pPr>
            <w:r>
              <w:t>The Tasmanian mining workforce is older than the broader Australian mining workforce, with the mode average in Tasmania being 45 to 54 years versus 35 to 44 years Australia-wide</w:t>
            </w:r>
          </w:p>
          <w:p w14:paraId="62B9A3DA" w14:textId="54E9922C" w:rsidR="00F80C8F" w:rsidRPr="00B1794C" w:rsidRDefault="00F80C8F" w:rsidP="00F80C8F">
            <w:pPr>
              <w:pStyle w:val="ListBullet"/>
            </w:pPr>
            <w:r w:rsidRPr="00F80C8F">
              <w:t>•</w:t>
            </w:r>
            <w:r w:rsidRPr="00F80C8F">
              <w:tab/>
              <w:t>The workforce is predominately male – less than 10% of the workforce are women</w:t>
            </w:r>
          </w:p>
        </w:tc>
      </w:tr>
    </w:tbl>
    <w:p w14:paraId="6BF3A1C1" w14:textId="020A3223" w:rsidR="000D1ECF" w:rsidRDefault="000D1ECF" w:rsidP="00347BED">
      <w:pPr>
        <w:pStyle w:val="Heading3"/>
      </w:pPr>
      <w:bookmarkStart w:id="56" w:name="_Toc23836326"/>
      <w:r w:rsidRPr="00441621">
        <w:t>Age</w:t>
      </w:r>
      <w:bookmarkEnd w:id="56"/>
    </w:p>
    <w:p w14:paraId="58079DEB" w14:textId="66A82944" w:rsidR="002A07F2" w:rsidRDefault="0008069B" w:rsidP="00347BED">
      <w:r>
        <w:t>T</w:t>
      </w:r>
      <w:r w:rsidR="0078342F">
        <w:t xml:space="preserve">he largest percentage of industry workers were aged between 35 to 54 years. </w:t>
      </w:r>
      <w:r w:rsidR="006A1C89">
        <w:t xml:space="preserve"> </w:t>
      </w:r>
      <w:r>
        <w:fldChar w:fldCharType="begin"/>
      </w:r>
      <w:r>
        <w:instrText xml:space="preserve"> REF _Ref19006510 \h </w:instrText>
      </w:r>
      <w:r>
        <w:fldChar w:fldCharType="separate"/>
      </w:r>
      <w:r w:rsidR="00ED4593">
        <w:t xml:space="preserve">Figure </w:t>
      </w:r>
      <w:r w:rsidR="00ED4593">
        <w:rPr>
          <w:noProof/>
        </w:rPr>
        <w:t>6</w:t>
      </w:r>
      <w:r>
        <w:fldChar w:fldCharType="end"/>
      </w:r>
      <w:r>
        <w:t xml:space="preserve"> </w:t>
      </w:r>
      <w:r w:rsidR="00BB1817">
        <w:t>indicate</w:t>
      </w:r>
      <w:r w:rsidR="0078342F">
        <w:t>s</w:t>
      </w:r>
      <w:r w:rsidR="00BB1817">
        <w:t xml:space="preserve"> that in 2011, the mining workforce had a higher percentage of younger workers.</w:t>
      </w:r>
    </w:p>
    <w:p w14:paraId="7D4D6D8C" w14:textId="70239FE9" w:rsidR="00C225C6" w:rsidRDefault="0008069B" w:rsidP="00C225C6">
      <w:pPr>
        <w:pStyle w:val="Caption"/>
      </w:pPr>
      <w:bookmarkStart w:id="57" w:name="_Ref19006510"/>
      <w:r>
        <w:t xml:space="preserve">Figure </w:t>
      </w:r>
      <w:r w:rsidR="00ED5BF8">
        <w:fldChar w:fldCharType="begin"/>
      </w:r>
      <w:r w:rsidR="00ED5BF8">
        <w:instrText xml:space="preserve"> SEQ Figure \* ARABIC </w:instrText>
      </w:r>
      <w:r w:rsidR="00ED5BF8">
        <w:fldChar w:fldCharType="separate"/>
      </w:r>
      <w:r w:rsidR="00ED4593">
        <w:rPr>
          <w:noProof/>
        </w:rPr>
        <w:t>6</w:t>
      </w:r>
      <w:r w:rsidR="00ED5BF8">
        <w:fldChar w:fldCharType="end"/>
      </w:r>
      <w:bookmarkEnd w:id="57"/>
      <w:r>
        <w:t>: Tasmanian mining workforce age structure (2011 - 2016)</w:t>
      </w:r>
      <w:r>
        <w:rPr>
          <w:rStyle w:val="FootnoteReference"/>
        </w:rPr>
        <w:footnoteReference w:id="21"/>
      </w:r>
    </w:p>
    <w:p w14:paraId="696143C8" w14:textId="48C6AFE7" w:rsidR="00C01DE0" w:rsidRDefault="008762B6" w:rsidP="00347BED">
      <w:r>
        <w:rPr>
          <w:noProof/>
        </w:rPr>
        <w:drawing>
          <wp:inline distT="0" distB="0" distL="0" distR="0" wp14:anchorId="5D7587AA" wp14:editId="382272CB">
            <wp:extent cx="5038725" cy="3216788"/>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53285" cy="3226083"/>
                    </a:xfrm>
                    <a:prstGeom prst="rect">
                      <a:avLst/>
                    </a:prstGeom>
                    <a:noFill/>
                  </pic:spPr>
                </pic:pic>
              </a:graphicData>
            </a:graphic>
          </wp:inline>
        </w:drawing>
      </w:r>
    </w:p>
    <w:p w14:paraId="5D8DE296" w14:textId="77777777" w:rsidR="008762B6" w:rsidRDefault="008762B6" w:rsidP="00347BED"/>
    <w:p w14:paraId="7641B8EE" w14:textId="6E39FA16" w:rsidR="0008069B" w:rsidRDefault="0008069B" w:rsidP="00347BED">
      <w:r>
        <w:t>Most of the mining workforce are middle aged with the industry lacking younger workers (15-24 years of age) when compared to other industries in Tasmania</w:t>
      </w:r>
      <w:r w:rsidR="00C225C6">
        <w:t>.</w:t>
      </w:r>
      <w:r w:rsidR="006A1C89">
        <w:t xml:space="preserve"> </w:t>
      </w:r>
      <w:r w:rsidR="00C225C6">
        <w:t xml:space="preserve"> All Tasmanian industries have a substantially younger workforce then the mining workforce which is illustrated below in </w:t>
      </w:r>
      <w:r w:rsidR="003D513A">
        <w:fldChar w:fldCharType="begin"/>
      </w:r>
      <w:r w:rsidR="003D513A">
        <w:instrText xml:space="preserve"> REF _Ref20136381 \h </w:instrText>
      </w:r>
      <w:r w:rsidR="003D513A">
        <w:fldChar w:fldCharType="separate"/>
      </w:r>
      <w:r w:rsidR="00ED4593">
        <w:t xml:space="preserve">Figure </w:t>
      </w:r>
      <w:r w:rsidR="00ED4593">
        <w:rPr>
          <w:noProof/>
        </w:rPr>
        <w:t>7</w:t>
      </w:r>
      <w:r w:rsidR="003D513A">
        <w:fldChar w:fldCharType="end"/>
      </w:r>
      <w:r w:rsidR="00C225C6">
        <w:t>.</w:t>
      </w:r>
    </w:p>
    <w:p w14:paraId="3CD35729" w14:textId="2AD6B939" w:rsidR="0008069B" w:rsidRDefault="0008069B" w:rsidP="0008069B">
      <w:pPr>
        <w:pStyle w:val="Caption"/>
      </w:pPr>
      <w:bookmarkStart w:id="58" w:name="_Ref20136381"/>
      <w:r>
        <w:lastRenderedPageBreak/>
        <w:t xml:space="preserve">Figure </w:t>
      </w:r>
      <w:r w:rsidR="00ED5BF8">
        <w:fldChar w:fldCharType="begin"/>
      </w:r>
      <w:r w:rsidR="00ED5BF8">
        <w:instrText xml:space="preserve"> SEQ Figure \* ARABIC </w:instrText>
      </w:r>
      <w:r w:rsidR="00ED5BF8">
        <w:fldChar w:fldCharType="separate"/>
      </w:r>
      <w:r w:rsidR="00ED4593">
        <w:rPr>
          <w:noProof/>
        </w:rPr>
        <w:t>7</w:t>
      </w:r>
      <w:r w:rsidR="00ED5BF8">
        <w:fldChar w:fldCharType="end"/>
      </w:r>
      <w:bookmarkEnd w:id="58"/>
      <w:r>
        <w:t xml:space="preserve">: </w:t>
      </w:r>
      <w:r w:rsidRPr="001E6A0B">
        <w:t>Tasmanian mining workforce age compared to all Tasmanian industries (2016)</w:t>
      </w:r>
      <w:r>
        <w:rPr>
          <w:rStyle w:val="FootnoteReference"/>
        </w:rPr>
        <w:footnoteReference w:id="22"/>
      </w:r>
    </w:p>
    <w:p w14:paraId="35147DFE" w14:textId="6A6DFA0F" w:rsidR="00AF7C20" w:rsidRDefault="008762B6" w:rsidP="00347BED">
      <w:r>
        <w:rPr>
          <w:noProof/>
        </w:rPr>
        <w:drawing>
          <wp:inline distT="0" distB="0" distL="0" distR="0" wp14:anchorId="43B44C26" wp14:editId="4020F8B9">
            <wp:extent cx="5038725" cy="3440693"/>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46796" cy="3446204"/>
                    </a:xfrm>
                    <a:prstGeom prst="rect">
                      <a:avLst/>
                    </a:prstGeom>
                    <a:noFill/>
                  </pic:spPr>
                </pic:pic>
              </a:graphicData>
            </a:graphic>
          </wp:inline>
        </w:drawing>
      </w:r>
    </w:p>
    <w:p w14:paraId="60D25F70" w14:textId="77777777" w:rsidR="00C225C6" w:rsidRDefault="00C225C6" w:rsidP="00347BED"/>
    <w:p w14:paraId="2157AC2E" w14:textId="198E8E29" w:rsidR="00C815D6" w:rsidRDefault="0008069B" w:rsidP="00347BED">
      <w:r>
        <w:fldChar w:fldCharType="begin"/>
      </w:r>
      <w:r>
        <w:instrText xml:space="preserve"> REF _Ref19006619 \h </w:instrText>
      </w:r>
      <w:r>
        <w:fldChar w:fldCharType="separate"/>
      </w:r>
      <w:r w:rsidR="00ED4593">
        <w:t xml:space="preserve">Figure </w:t>
      </w:r>
      <w:r w:rsidR="00ED4593">
        <w:rPr>
          <w:noProof/>
        </w:rPr>
        <w:t>8</w:t>
      </w:r>
      <w:r>
        <w:fldChar w:fldCharType="end"/>
      </w:r>
      <w:r>
        <w:t xml:space="preserve"> presents the age groupings of Tasmania’s mining workforce compared to Australia’s workforce.</w:t>
      </w:r>
      <w:r w:rsidR="003D513A">
        <w:t xml:space="preserve"> </w:t>
      </w:r>
      <w:r w:rsidR="00C3554A">
        <w:t xml:space="preserve"> Tasmania’s workforce has 5</w:t>
      </w:r>
      <w:r w:rsidR="003D513A">
        <w:t>%</w:t>
      </w:r>
      <w:r w:rsidR="00C3554A">
        <w:t xml:space="preserve"> more workers over the age of 55 then the national average.</w:t>
      </w:r>
      <w:r w:rsidR="00C3554A">
        <w:rPr>
          <w:rStyle w:val="FootnoteReference"/>
        </w:rPr>
        <w:footnoteReference w:id="23"/>
      </w:r>
    </w:p>
    <w:p w14:paraId="60E74D01" w14:textId="0622FEE0" w:rsidR="0008069B" w:rsidRDefault="0008069B" w:rsidP="0008069B">
      <w:pPr>
        <w:pStyle w:val="Caption"/>
      </w:pPr>
      <w:bookmarkStart w:id="59" w:name="_Ref19006619"/>
      <w:r>
        <w:t xml:space="preserve">Figure </w:t>
      </w:r>
      <w:r w:rsidR="00ED5BF8">
        <w:fldChar w:fldCharType="begin"/>
      </w:r>
      <w:r w:rsidR="00ED5BF8">
        <w:instrText xml:space="preserve"> SEQ Figure \* ARABIC </w:instrText>
      </w:r>
      <w:r w:rsidR="00ED5BF8">
        <w:fldChar w:fldCharType="separate"/>
      </w:r>
      <w:r w:rsidR="00ED4593">
        <w:rPr>
          <w:noProof/>
        </w:rPr>
        <w:t>8</w:t>
      </w:r>
      <w:r w:rsidR="00ED5BF8">
        <w:fldChar w:fldCharType="end"/>
      </w:r>
      <w:bookmarkEnd w:id="59"/>
      <w:r>
        <w:t xml:space="preserve">: </w:t>
      </w:r>
      <w:r w:rsidRPr="0035715E">
        <w:t>Tasmanian mining workforce age compared to Australia’s mining workforce age (2016)</w:t>
      </w:r>
      <w:r>
        <w:rPr>
          <w:rStyle w:val="FootnoteReference"/>
        </w:rPr>
        <w:footnoteReference w:id="24"/>
      </w:r>
    </w:p>
    <w:p w14:paraId="450D28A9" w14:textId="112E495C" w:rsidR="0005195C" w:rsidRDefault="00B9010A" w:rsidP="00347BED">
      <w:r>
        <w:rPr>
          <w:noProof/>
        </w:rPr>
        <w:drawing>
          <wp:inline distT="0" distB="0" distL="0" distR="0" wp14:anchorId="54981E0C" wp14:editId="7DCA3BF6">
            <wp:extent cx="4818437" cy="328612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38807" cy="3300017"/>
                    </a:xfrm>
                    <a:prstGeom prst="rect">
                      <a:avLst/>
                    </a:prstGeom>
                    <a:noFill/>
                  </pic:spPr>
                </pic:pic>
              </a:graphicData>
            </a:graphic>
          </wp:inline>
        </w:drawing>
      </w:r>
    </w:p>
    <w:p w14:paraId="284478CF" w14:textId="77777777" w:rsidR="00B9010A" w:rsidRDefault="00B9010A" w:rsidP="00347BED"/>
    <w:p w14:paraId="55EFBCC4" w14:textId="13044C11" w:rsidR="00AF46B4" w:rsidRDefault="00AF7C20" w:rsidP="00347BED">
      <w:pPr>
        <w:pStyle w:val="Heading3"/>
      </w:pPr>
      <w:bookmarkStart w:id="60" w:name="_Toc23836327"/>
      <w:r>
        <w:t>Gender</w:t>
      </w:r>
      <w:bookmarkEnd w:id="60"/>
    </w:p>
    <w:p w14:paraId="630E67F7" w14:textId="4BF39B9A" w:rsidR="00A23B25" w:rsidRDefault="003771AC" w:rsidP="00347BED">
      <w:r>
        <w:t>In 2016,</w:t>
      </w:r>
      <w:r w:rsidR="00AF7C20">
        <w:t xml:space="preserve"> 9</w:t>
      </w:r>
      <w:r w:rsidR="0050643D">
        <w:t>1</w:t>
      </w:r>
      <w:r w:rsidR="00AF7C20">
        <w:t xml:space="preserve">% of the total </w:t>
      </w:r>
      <w:r>
        <w:t>mining industry local workers</w:t>
      </w:r>
      <w:r w:rsidR="00AF7C20">
        <w:t xml:space="preserve"> </w:t>
      </w:r>
      <w:r>
        <w:t>we</w:t>
      </w:r>
      <w:r w:rsidR="00AF7C20">
        <w:t>re males</w:t>
      </w:r>
      <w:r w:rsidR="0008069B">
        <w:t>.</w:t>
      </w:r>
      <w:r w:rsidR="00AF7C20">
        <w:t xml:space="preserve"> </w:t>
      </w:r>
      <w:r w:rsidR="0008069B">
        <w:t xml:space="preserve"> </w:t>
      </w:r>
      <w:r w:rsidR="00AF7C20">
        <w:t xml:space="preserve">This is vastly different </w:t>
      </w:r>
      <w:r>
        <w:t xml:space="preserve">in comparison </w:t>
      </w:r>
      <w:r w:rsidR="00AF7C20">
        <w:t xml:space="preserve">to the </w:t>
      </w:r>
      <w:r w:rsidR="0008069B">
        <w:t xml:space="preserve">overall </w:t>
      </w:r>
      <w:r w:rsidR="00AF7C20">
        <w:t>Tasmanian workforce</w:t>
      </w:r>
      <w:r w:rsidR="0008069B">
        <w:t>,</w:t>
      </w:r>
      <w:r w:rsidR="00AF7C20">
        <w:t xml:space="preserve"> which </w:t>
      </w:r>
      <w:r>
        <w:t>wa</w:t>
      </w:r>
      <w:r w:rsidR="00AF7C20">
        <w:t>s 49.8</w:t>
      </w:r>
      <w:r w:rsidR="003D513A">
        <w:t>%</w:t>
      </w:r>
      <w:r w:rsidR="0050643D">
        <w:t>.</w:t>
      </w:r>
      <w:r w:rsidR="0050643D">
        <w:rPr>
          <w:rStyle w:val="FootnoteReference"/>
        </w:rPr>
        <w:footnoteReference w:id="25"/>
      </w:r>
    </w:p>
    <w:p w14:paraId="6604CECD" w14:textId="3DC622A2" w:rsidR="00B4557F" w:rsidRDefault="00EB4499" w:rsidP="00347BED">
      <w:r>
        <w:t>In 2011, the gender disparity was the same with 91% males and 9%</w:t>
      </w:r>
      <w:r w:rsidR="003D513A">
        <w:t xml:space="preserve"> female</w:t>
      </w:r>
      <w:r>
        <w:t>.</w:t>
      </w:r>
      <w:r>
        <w:rPr>
          <w:rStyle w:val="FootnoteReference"/>
        </w:rPr>
        <w:footnoteReference w:id="26"/>
      </w:r>
    </w:p>
    <w:p w14:paraId="32F71179" w14:textId="6F83DEBD" w:rsidR="00EB4499" w:rsidRDefault="00EB4499" w:rsidP="00347BED">
      <w:r>
        <w:t xml:space="preserve">The gender disparity is the same nationwide as women comprise </w:t>
      </w:r>
      <w:r w:rsidR="003B65DD">
        <w:t>16.1% of the national workforce in 2018, making it the most male dominated industry in Australia.</w:t>
      </w:r>
      <w:r w:rsidR="003B65DD">
        <w:rPr>
          <w:rStyle w:val="FootnoteReference"/>
        </w:rPr>
        <w:footnoteReference w:id="27"/>
      </w:r>
    </w:p>
    <w:p w14:paraId="1EAF8757" w14:textId="732260C4" w:rsidR="00B5020A" w:rsidRDefault="000D1ECF" w:rsidP="0075788E">
      <w:pPr>
        <w:pStyle w:val="Heading2"/>
        <w:pageBreakBefore/>
        <w:ind w:left="578" w:hanging="578"/>
      </w:pPr>
      <w:bookmarkStart w:id="61" w:name="_Toc23836328"/>
      <w:r w:rsidRPr="00441621">
        <w:lastRenderedPageBreak/>
        <w:t>Occupation</w:t>
      </w:r>
      <w:bookmarkEnd w:id="6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21"/>
      </w:tblGrid>
      <w:tr w:rsidR="0076215D" w:rsidRPr="00B1794C" w14:paraId="5B0764EF" w14:textId="77777777" w:rsidTr="0076215D">
        <w:trPr>
          <w:tblHeader/>
        </w:trPr>
        <w:tc>
          <w:tcPr>
            <w:tcW w:w="9621" w:type="dxa"/>
            <w:shd w:val="clear" w:color="auto" w:fill="D9E2F3" w:themeFill="accent5" w:themeFillTint="33"/>
          </w:tcPr>
          <w:p w14:paraId="44FDE357" w14:textId="0CFEFF73" w:rsidR="0076215D" w:rsidRPr="00C815D6" w:rsidRDefault="0076215D" w:rsidP="00B65306">
            <w:pPr>
              <w:rPr>
                <w:b/>
                <w:bCs/>
              </w:rPr>
            </w:pPr>
            <w:r w:rsidRPr="00C815D6">
              <w:rPr>
                <w:b/>
                <w:bCs/>
              </w:rPr>
              <w:t>Key findings</w:t>
            </w:r>
          </w:p>
        </w:tc>
      </w:tr>
      <w:tr w:rsidR="00B5020A" w:rsidRPr="00B1794C" w14:paraId="3A2C8CC2" w14:textId="77777777" w:rsidTr="0076215D">
        <w:tc>
          <w:tcPr>
            <w:tcW w:w="9621" w:type="dxa"/>
            <w:shd w:val="clear" w:color="auto" w:fill="D9E2F3" w:themeFill="accent5" w:themeFillTint="33"/>
          </w:tcPr>
          <w:p w14:paraId="4DC2831B" w14:textId="71818B0C" w:rsidR="00F215E2" w:rsidRPr="00B1794C" w:rsidRDefault="00F80C8F" w:rsidP="008E323F">
            <w:pPr>
              <w:pStyle w:val="ListBullet"/>
            </w:pPr>
            <w:r w:rsidRPr="00F80C8F">
              <w:t>Machinery operators and drivers together with technicians and trades workers make up 74% of the total mining workforce</w:t>
            </w:r>
          </w:p>
        </w:tc>
      </w:tr>
    </w:tbl>
    <w:p w14:paraId="429247F7" w14:textId="1E2A54EE" w:rsidR="0078342F" w:rsidRDefault="00CD3CB4" w:rsidP="00093C5F">
      <w:pPr>
        <w:keepNext/>
      </w:pPr>
      <w:r>
        <w:t>The</w:t>
      </w:r>
      <w:r w:rsidR="009E360F">
        <w:t xml:space="preserve"> major groupings </w:t>
      </w:r>
      <w:r>
        <w:t>of occupations in the mining workforce are as follows:</w:t>
      </w:r>
    </w:p>
    <w:p w14:paraId="586EBB9B" w14:textId="40786824" w:rsidR="00CD3CB4" w:rsidRDefault="00CD3CB4" w:rsidP="00A33A38">
      <w:pPr>
        <w:pStyle w:val="ListBullet"/>
      </w:pPr>
      <w:r>
        <w:t>machinery operators and drivers</w:t>
      </w:r>
    </w:p>
    <w:p w14:paraId="5FD29639" w14:textId="5D5F3394" w:rsidR="00CD3CB4" w:rsidRDefault="00CD3CB4" w:rsidP="00A33A38">
      <w:pPr>
        <w:pStyle w:val="ListBullet"/>
      </w:pPr>
      <w:r>
        <w:t>technicians and trade workers</w:t>
      </w:r>
    </w:p>
    <w:p w14:paraId="670F96D8" w14:textId="3A03C99A" w:rsidR="00CD3CB4" w:rsidRDefault="00CD3CB4" w:rsidP="00A33A38">
      <w:pPr>
        <w:pStyle w:val="ListBullet"/>
      </w:pPr>
      <w:r>
        <w:t>professionals</w:t>
      </w:r>
    </w:p>
    <w:p w14:paraId="52441559" w14:textId="4E92B62C" w:rsidR="00CD3CB4" w:rsidRDefault="00CD3CB4" w:rsidP="00A33A38">
      <w:pPr>
        <w:pStyle w:val="ListBullet"/>
      </w:pPr>
      <w:r>
        <w:t>managers</w:t>
      </w:r>
    </w:p>
    <w:p w14:paraId="6D63A21A" w14:textId="4B337255" w:rsidR="00CD3CB4" w:rsidRDefault="00CD3CB4" w:rsidP="00A33A38">
      <w:pPr>
        <w:pStyle w:val="ListBullet"/>
      </w:pPr>
      <w:r>
        <w:t>clerical and administrative workers</w:t>
      </w:r>
    </w:p>
    <w:p w14:paraId="0FB5FB2D" w14:textId="0DB9ADE0" w:rsidR="00CD3CB4" w:rsidRDefault="00CD3CB4" w:rsidP="00A33A38">
      <w:pPr>
        <w:pStyle w:val="ListBullet"/>
      </w:pPr>
      <w:r>
        <w:t>labourers</w:t>
      </w:r>
    </w:p>
    <w:p w14:paraId="7CE5936E" w14:textId="1DF4E4E6" w:rsidR="00CD3CB4" w:rsidRDefault="00CD3CB4" w:rsidP="00A33A38">
      <w:pPr>
        <w:pStyle w:val="ListBullet"/>
      </w:pPr>
      <w:r>
        <w:t>community and personal service workers</w:t>
      </w:r>
    </w:p>
    <w:p w14:paraId="56FE1343" w14:textId="5B2A5BCB" w:rsidR="00CD3CB4" w:rsidRDefault="00CD3CB4" w:rsidP="00A33A38">
      <w:pPr>
        <w:pStyle w:val="ListBullet"/>
      </w:pPr>
      <w:r>
        <w:t>sales workers</w:t>
      </w:r>
      <w:r w:rsidR="006A1C89">
        <w:t>.</w:t>
      </w:r>
    </w:p>
    <w:p w14:paraId="47BEC41B" w14:textId="03105BEF" w:rsidR="009E360F" w:rsidRDefault="009E360F" w:rsidP="009E360F">
      <w:r>
        <w:t xml:space="preserve">Please </w:t>
      </w:r>
      <w:r w:rsidRPr="00CA5A43">
        <w:t xml:space="preserve">see </w:t>
      </w:r>
      <w:r w:rsidR="00CA5A43" w:rsidRPr="00CA5A43">
        <w:t>A</w:t>
      </w:r>
      <w:r w:rsidRPr="00CA5A43">
        <w:t xml:space="preserve">ttachment </w:t>
      </w:r>
      <w:r w:rsidR="00CA5A43" w:rsidRPr="00CA5A43">
        <w:t>D</w:t>
      </w:r>
      <w:r w:rsidRPr="00CA5A43">
        <w:t xml:space="preserve"> for</w:t>
      </w:r>
      <w:r>
        <w:t xml:space="preserve"> the full list of sub major occupations.</w:t>
      </w:r>
    </w:p>
    <w:p w14:paraId="6FD3DF88" w14:textId="2D3310C0" w:rsidR="00E060C4" w:rsidRDefault="00CD3CB4" w:rsidP="00CD3CB4">
      <w:r>
        <w:t>Census data indicates that the key occupations are machinery operators and drivers (46.6%)</w:t>
      </w:r>
      <w:r w:rsidR="00B4557F">
        <w:t>,</w:t>
      </w:r>
      <w:r>
        <w:t xml:space="preserve"> technicians and trade workers (30.5%)</w:t>
      </w:r>
      <w:r w:rsidR="00B4557F">
        <w:t xml:space="preserve"> and professionals (10.8%)</w:t>
      </w:r>
      <w:r w:rsidR="002265D5">
        <w:t xml:space="preserve">. </w:t>
      </w:r>
      <w:r w:rsidR="00602A3D">
        <w:t xml:space="preserve"> </w:t>
      </w:r>
      <w:r w:rsidR="00B4557F">
        <w:t>In combination, these occupations account for 83.8</w:t>
      </w:r>
      <w:r w:rsidR="002265D5">
        <w:t>%</w:t>
      </w:r>
      <w:r w:rsidR="00B4557F">
        <w:t xml:space="preserve"> of the mining workforce.</w:t>
      </w:r>
    </w:p>
    <w:p w14:paraId="43A7F51A" w14:textId="652C33C9" w:rsidR="00602A3D" w:rsidRDefault="00602A3D" w:rsidP="00602A3D">
      <w:pPr>
        <w:pStyle w:val="Caption"/>
      </w:pPr>
      <w:bookmarkStart w:id="62" w:name="_Ref19006834"/>
      <w:r>
        <w:t xml:space="preserve">Figure </w:t>
      </w:r>
      <w:r w:rsidR="00ED5BF8">
        <w:fldChar w:fldCharType="begin"/>
      </w:r>
      <w:r w:rsidR="00ED5BF8">
        <w:instrText xml:space="preserve"> SEQ Figure \* ARABIC </w:instrText>
      </w:r>
      <w:r w:rsidR="00ED5BF8">
        <w:fldChar w:fldCharType="separate"/>
      </w:r>
      <w:r w:rsidR="00ED4593">
        <w:rPr>
          <w:noProof/>
        </w:rPr>
        <w:t>9</w:t>
      </w:r>
      <w:r w:rsidR="00ED5BF8">
        <w:fldChar w:fldCharType="end"/>
      </w:r>
      <w:bookmarkEnd w:id="62"/>
      <w:r>
        <w:t>: Occupations in the Tasmanian mining industry, 2016</w:t>
      </w:r>
      <w:r>
        <w:rPr>
          <w:rStyle w:val="FootnoteReference"/>
        </w:rPr>
        <w:footnoteReference w:id="28"/>
      </w:r>
    </w:p>
    <w:p w14:paraId="6D2EFF1E" w14:textId="6D908CE3" w:rsidR="006C2404" w:rsidRDefault="00B9010A" w:rsidP="00CD3CB4">
      <w:r>
        <w:rPr>
          <w:noProof/>
        </w:rPr>
        <w:drawing>
          <wp:inline distT="0" distB="0" distL="0" distR="0" wp14:anchorId="21610104" wp14:editId="042268CE">
            <wp:extent cx="5695950" cy="327948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37058" cy="3303154"/>
                    </a:xfrm>
                    <a:prstGeom prst="rect">
                      <a:avLst/>
                    </a:prstGeom>
                    <a:noFill/>
                  </pic:spPr>
                </pic:pic>
              </a:graphicData>
            </a:graphic>
          </wp:inline>
        </w:drawing>
      </w:r>
    </w:p>
    <w:p w14:paraId="5D79C697" w14:textId="77777777" w:rsidR="00B9010A" w:rsidRDefault="00B9010A" w:rsidP="00CD3CB4"/>
    <w:p w14:paraId="0AE32D33" w14:textId="3D383E9B" w:rsidR="0056715E" w:rsidRDefault="00E060C4" w:rsidP="00CD3CB4">
      <w:r>
        <w:t xml:space="preserve">According to census data, the </w:t>
      </w:r>
      <w:r w:rsidR="00B4557F">
        <w:t xml:space="preserve">largest differences in the workforce occupational makeup size occurred with </w:t>
      </w:r>
      <w:r w:rsidR="00602A3D">
        <w:t>m</w:t>
      </w:r>
      <w:r w:rsidR="00B4557F">
        <w:t>achinery operators and drivers with a decrease of 4.6</w:t>
      </w:r>
      <w:r w:rsidR="00372ECD">
        <w:t>%</w:t>
      </w:r>
      <w:r w:rsidR="00B4557F">
        <w:t xml:space="preserve"> from 2011 to 2016.</w:t>
      </w:r>
      <w:r w:rsidR="0050643D">
        <w:rPr>
          <w:rStyle w:val="FootnoteReference"/>
        </w:rPr>
        <w:footnoteReference w:id="29"/>
      </w:r>
      <w:r w:rsidR="006C4BFC">
        <w:t xml:space="preserve"> </w:t>
      </w:r>
      <w:r w:rsidR="006C4BFC">
        <w:lastRenderedPageBreak/>
        <w:t xml:space="preserve">There is </w:t>
      </w:r>
      <w:r w:rsidR="00B87959">
        <w:t>an</w:t>
      </w:r>
      <w:r w:rsidR="006C4BFC">
        <w:t xml:space="preserve"> increase in professionals and technicians and trades workers, indicating a workforce desire for more educated workers.</w:t>
      </w:r>
      <w:r w:rsidR="00B4557F">
        <w:t xml:space="preserve"> </w:t>
      </w:r>
      <w:r w:rsidR="006A1C89">
        <w:t xml:space="preserve"> </w:t>
      </w:r>
      <w:r w:rsidR="00602A3D">
        <w:fldChar w:fldCharType="begin"/>
      </w:r>
      <w:r w:rsidR="00602A3D">
        <w:instrText xml:space="preserve"> REF _Ref19006904 \h </w:instrText>
      </w:r>
      <w:r w:rsidR="00602A3D">
        <w:fldChar w:fldCharType="separate"/>
      </w:r>
      <w:r w:rsidR="00ED4593">
        <w:t xml:space="preserve">Figure </w:t>
      </w:r>
      <w:r w:rsidR="00ED4593">
        <w:rPr>
          <w:noProof/>
        </w:rPr>
        <w:t>10</w:t>
      </w:r>
      <w:r w:rsidR="00602A3D">
        <w:fldChar w:fldCharType="end"/>
      </w:r>
      <w:r w:rsidR="00B4557F">
        <w:t xml:space="preserve"> presents the differences in the occupations from 2011 to 2016.</w:t>
      </w:r>
    </w:p>
    <w:p w14:paraId="73B9B123" w14:textId="2AD381B8" w:rsidR="00602A3D" w:rsidRDefault="00602A3D" w:rsidP="00602A3D">
      <w:pPr>
        <w:pStyle w:val="Caption"/>
      </w:pPr>
      <w:bookmarkStart w:id="63" w:name="_Ref19006904"/>
      <w:r>
        <w:t xml:space="preserve">Figure </w:t>
      </w:r>
      <w:r w:rsidR="00ED5BF8">
        <w:fldChar w:fldCharType="begin"/>
      </w:r>
      <w:r w:rsidR="00ED5BF8">
        <w:instrText xml:space="preserve"> SEQ Figure \* ARABIC </w:instrText>
      </w:r>
      <w:r w:rsidR="00ED5BF8">
        <w:fldChar w:fldCharType="separate"/>
      </w:r>
      <w:r w:rsidR="00ED4593">
        <w:rPr>
          <w:noProof/>
        </w:rPr>
        <w:t>10</w:t>
      </w:r>
      <w:r w:rsidR="00ED5BF8">
        <w:fldChar w:fldCharType="end"/>
      </w:r>
      <w:bookmarkEnd w:id="63"/>
      <w:r>
        <w:t xml:space="preserve">: </w:t>
      </w:r>
      <w:r w:rsidRPr="00F53BF5">
        <w:t xml:space="preserve">Occupation </w:t>
      </w:r>
      <w:r w:rsidR="0025793E">
        <w:t>Tr</w:t>
      </w:r>
      <w:r w:rsidRPr="00F53BF5">
        <w:t>ends 2011-2016</w:t>
      </w:r>
      <w:r>
        <w:rPr>
          <w:rStyle w:val="FootnoteReference"/>
        </w:rPr>
        <w:footnoteReference w:id="30"/>
      </w:r>
    </w:p>
    <w:p w14:paraId="40B117D4" w14:textId="23CC8F3D" w:rsidR="00F215E2" w:rsidRDefault="00B9010A" w:rsidP="00F215E2">
      <w:pPr>
        <w:keepNext/>
      </w:pPr>
      <w:r>
        <w:rPr>
          <w:noProof/>
        </w:rPr>
        <w:drawing>
          <wp:inline distT="0" distB="0" distL="0" distR="0" wp14:anchorId="484CF62D" wp14:editId="42EF8211">
            <wp:extent cx="5362575" cy="3085130"/>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75256" cy="3092426"/>
                    </a:xfrm>
                    <a:prstGeom prst="rect">
                      <a:avLst/>
                    </a:prstGeom>
                    <a:noFill/>
                  </pic:spPr>
                </pic:pic>
              </a:graphicData>
            </a:graphic>
          </wp:inline>
        </w:drawing>
      </w:r>
    </w:p>
    <w:p w14:paraId="319B08CE" w14:textId="77777777" w:rsidR="006C2404" w:rsidRPr="006C2404" w:rsidRDefault="006C2404" w:rsidP="006C2404"/>
    <w:p w14:paraId="423598A0" w14:textId="685EEFE8" w:rsidR="00784E02" w:rsidRDefault="00271400" w:rsidP="0075788E">
      <w:pPr>
        <w:pStyle w:val="Heading2"/>
        <w:pageBreakBefore/>
        <w:ind w:left="578" w:hanging="578"/>
      </w:pPr>
      <w:bookmarkStart w:id="64" w:name="_Ref489353890"/>
      <w:bookmarkStart w:id="65" w:name="_Toc23836329"/>
      <w:r w:rsidRPr="00695B62">
        <w:lastRenderedPageBreak/>
        <w:t xml:space="preserve">Employment </w:t>
      </w:r>
      <w:bookmarkEnd w:id="50"/>
      <w:bookmarkEnd w:id="51"/>
      <w:bookmarkEnd w:id="52"/>
      <w:bookmarkEnd w:id="53"/>
      <w:r w:rsidR="00917011">
        <w:t>T</w:t>
      </w:r>
      <w:r w:rsidR="008406EA">
        <w:t>ype</w:t>
      </w:r>
      <w:bookmarkStart w:id="66" w:name="_Ref489353896"/>
      <w:bookmarkStart w:id="67" w:name="_Toc486854892"/>
      <w:bookmarkStart w:id="68" w:name="_Toc476830367"/>
      <w:bookmarkStart w:id="69" w:name="_Toc476838809"/>
      <w:bookmarkStart w:id="70" w:name="_Toc478031557"/>
      <w:bookmarkStart w:id="71" w:name="_Toc486854891"/>
      <w:bookmarkStart w:id="72" w:name="_Toc476830366"/>
      <w:bookmarkStart w:id="73" w:name="_Toc476838808"/>
      <w:bookmarkStart w:id="74" w:name="_Toc478031556"/>
      <w:bookmarkEnd w:id="47"/>
      <w:bookmarkEnd w:id="64"/>
      <w:bookmarkEnd w:id="6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21"/>
      </w:tblGrid>
      <w:tr w:rsidR="0076215D" w:rsidRPr="00B1794C" w14:paraId="746A81D0" w14:textId="77777777" w:rsidTr="0076215D">
        <w:trPr>
          <w:tblHeader/>
        </w:trPr>
        <w:tc>
          <w:tcPr>
            <w:tcW w:w="9621" w:type="dxa"/>
            <w:shd w:val="clear" w:color="auto" w:fill="D9E2F3" w:themeFill="accent5" w:themeFillTint="33"/>
          </w:tcPr>
          <w:p w14:paraId="1E0657FF" w14:textId="29E175EC" w:rsidR="0076215D" w:rsidRPr="00C815D6" w:rsidRDefault="0076215D" w:rsidP="00F94913">
            <w:pPr>
              <w:rPr>
                <w:b/>
                <w:bCs/>
              </w:rPr>
            </w:pPr>
            <w:r w:rsidRPr="00C815D6">
              <w:rPr>
                <w:b/>
                <w:bCs/>
              </w:rPr>
              <w:t xml:space="preserve">Key findings </w:t>
            </w:r>
          </w:p>
        </w:tc>
      </w:tr>
      <w:tr w:rsidR="000A7239" w:rsidRPr="00B1794C" w14:paraId="5455A647" w14:textId="77777777" w:rsidTr="0076215D">
        <w:tc>
          <w:tcPr>
            <w:tcW w:w="9621" w:type="dxa"/>
            <w:shd w:val="clear" w:color="auto" w:fill="D9E2F3" w:themeFill="accent5" w:themeFillTint="33"/>
          </w:tcPr>
          <w:p w14:paraId="4F60EC4A" w14:textId="6E90941E" w:rsidR="000A7239" w:rsidRPr="00B1794C" w:rsidRDefault="00917011" w:rsidP="00280531">
            <w:pPr>
              <w:pStyle w:val="ListBullet"/>
            </w:pPr>
            <w:r w:rsidRPr="00917011">
              <w:t>The majority (90%) of the workforce were employed full time</w:t>
            </w:r>
          </w:p>
        </w:tc>
      </w:tr>
    </w:tbl>
    <w:p w14:paraId="0060D147" w14:textId="7427BB47" w:rsidR="00602A3D" w:rsidRDefault="00602A3D" w:rsidP="00C757C4">
      <w:r>
        <w:t xml:space="preserve">Full-time employees make up </w:t>
      </w:r>
      <w:r w:rsidR="00C956B3">
        <w:t>most of</w:t>
      </w:r>
      <w:r>
        <w:t xml:space="preserve"> the workforce.  The percentage of the workforce that is employed full-time in the mining industry increased 1% from 2011 to 2016, as shown in </w:t>
      </w:r>
      <w:r>
        <w:fldChar w:fldCharType="begin"/>
      </w:r>
      <w:r>
        <w:instrText xml:space="preserve"> REF _Ref19007076 \h </w:instrText>
      </w:r>
      <w:r>
        <w:fldChar w:fldCharType="separate"/>
      </w:r>
      <w:r w:rsidR="00ED4593">
        <w:t xml:space="preserve">Figure </w:t>
      </w:r>
      <w:r w:rsidR="00ED4593">
        <w:rPr>
          <w:noProof/>
        </w:rPr>
        <w:t>11</w:t>
      </w:r>
      <w:r>
        <w:fldChar w:fldCharType="end"/>
      </w:r>
      <w:r>
        <w:t>.</w:t>
      </w:r>
    </w:p>
    <w:p w14:paraId="7973284E" w14:textId="21C2A30C" w:rsidR="00602A3D" w:rsidRDefault="00602A3D" w:rsidP="00602A3D">
      <w:pPr>
        <w:pStyle w:val="Caption"/>
      </w:pPr>
      <w:bookmarkStart w:id="75" w:name="_Ref19007076"/>
      <w:r>
        <w:t xml:space="preserve">Figure </w:t>
      </w:r>
      <w:r w:rsidR="00ED5BF8">
        <w:fldChar w:fldCharType="begin"/>
      </w:r>
      <w:r w:rsidR="00ED5BF8">
        <w:instrText xml:space="preserve"> SEQ Figure \* ARABIC </w:instrText>
      </w:r>
      <w:r w:rsidR="00ED5BF8">
        <w:fldChar w:fldCharType="separate"/>
      </w:r>
      <w:r w:rsidR="00ED4593">
        <w:rPr>
          <w:noProof/>
        </w:rPr>
        <w:t>11</w:t>
      </w:r>
      <w:r w:rsidR="00ED5BF8">
        <w:fldChar w:fldCharType="end"/>
      </w:r>
      <w:bookmarkEnd w:id="75"/>
      <w:r>
        <w:t>: Tasmania’s mining workforce employment type (2011-2016)</w:t>
      </w:r>
      <w:r>
        <w:rPr>
          <w:rStyle w:val="FootnoteReference"/>
        </w:rPr>
        <w:footnoteReference w:id="31"/>
      </w:r>
    </w:p>
    <w:p w14:paraId="49E55B73" w14:textId="4DE6C37F" w:rsidR="00CC0049" w:rsidRDefault="00FD64FD" w:rsidP="00CC0049">
      <w:r>
        <w:rPr>
          <w:noProof/>
        </w:rPr>
        <w:drawing>
          <wp:inline distT="0" distB="0" distL="0" distR="0" wp14:anchorId="55E0F083" wp14:editId="50EDCC57">
            <wp:extent cx="4981575" cy="346923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56346" cy="3521309"/>
                    </a:xfrm>
                    <a:prstGeom prst="rect">
                      <a:avLst/>
                    </a:prstGeom>
                    <a:noFill/>
                  </pic:spPr>
                </pic:pic>
              </a:graphicData>
            </a:graphic>
          </wp:inline>
        </w:drawing>
      </w:r>
    </w:p>
    <w:p w14:paraId="46D68290" w14:textId="77777777" w:rsidR="00094FD7" w:rsidRDefault="00094FD7" w:rsidP="00C757C4"/>
    <w:p w14:paraId="28B5B113" w14:textId="12E6F46B" w:rsidR="004E33F5" w:rsidRPr="00C757C4" w:rsidRDefault="00094FD7" w:rsidP="00C757C4">
      <w:r>
        <w:t>Survey results revealed that 81% of the workforce was directly employed by mining organisations, 11% were labour hires, and 8% were contractors.  The workforce on Tasmania’s West Coast uses a higher percentage of labour hire and contractor’s than elsewhere in Tasmania.</w:t>
      </w:r>
    </w:p>
    <w:p w14:paraId="212D1A96" w14:textId="7AA825C4" w:rsidR="000857CE" w:rsidRDefault="000857CE" w:rsidP="0075788E">
      <w:pPr>
        <w:pStyle w:val="Heading2"/>
        <w:pageBreakBefore/>
        <w:ind w:left="578" w:hanging="578"/>
      </w:pPr>
      <w:bookmarkStart w:id="76" w:name="_Toc23836330"/>
      <w:bookmarkEnd w:id="66"/>
      <w:r>
        <w:lastRenderedPageBreak/>
        <w:t>Income</w:t>
      </w:r>
      <w:bookmarkEnd w:id="7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21"/>
      </w:tblGrid>
      <w:tr w:rsidR="0076215D" w:rsidRPr="00B1794C" w14:paraId="235BD8FC" w14:textId="77777777" w:rsidTr="0076215D">
        <w:trPr>
          <w:tblHeader/>
        </w:trPr>
        <w:tc>
          <w:tcPr>
            <w:tcW w:w="9621" w:type="dxa"/>
            <w:shd w:val="clear" w:color="auto" w:fill="D9E2F3" w:themeFill="accent5" w:themeFillTint="33"/>
          </w:tcPr>
          <w:p w14:paraId="40234005" w14:textId="3373E4F7" w:rsidR="0076215D" w:rsidRPr="00C815D6" w:rsidRDefault="0076215D" w:rsidP="00996F28">
            <w:pPr>
              <w:rPr>
                <w:b/>
                <w:bCs/>
              </w:rPr>
            </w:pPr>
            <w:r w:rsidRPr="00C815D6">
              <w:rPr>
                <w:b/>
                <w:bCs/>
              </w:rPr>
              <w:t xml:space="preserve">Key findings </w:t>
            </w:r>
          </w:p>
        </w:tc>
      </w:tr>
      <w:tr w:rsidR="00A651DE" w:rsidRPr="00B1794C" w14:paraId="45DC5E5B" w14:textId="77777777" w:rsidTr="0076215D">
        <w:tc>
          <w:tcPr>
            <w:tcW w:w="9621" w:type="dxa"/>
            <w:shd w:val="clear" w:color="auto" w:fill="D9E2F3" w:themeFill="accent5" w:themeFillTint="33"/>
          </w:tcPr>
          <w:p w14:paraId="5C2300A3" w14:textId="7F3F6E85" w:rsidR="008436DA" w:rsidRPr="00B1794C" w:rsidRDefault="00917011" w:rsidP="008E323F">
            <w:pPr>
              <w:pStyle w:val="ListBullet"/>
            </w:pPr>
            <w:r w:rsidRPr="00917011">
              <w:t>The mining workforce in other states have a higher average wage compared to the Tasmanian mining workforce average wage</w:t>
            </w:r>
          </w:p>
        </w:tc>
      </w:tr>
    </w:tbl>
    <w:p w14:paraId="404C69E3" w14:textId="0B1789AE" w:rsidR="00DA1E7E" w:rsidRDefault="00DA1E7E" w:rsidP="00C956B3">
      <w:pPr>
        <w:keepNext/>
      </w:pPr>
      <w:r>
        <w:t>Census data indicates that 25.2</w:t>
      </w:r>
      <w:r w:rsidR="00F921BF">
        <w:t>%</w:t>
      </w:r>
      <w:r>
        <w:t xml:space="preserve"> of the mining workforce</w:t>
      </w:r>
      <w:r w:rsidR="00684710">
        <w:t xml:space="preserve"> has a </w:t>
      </w:r>
      <w:r>
        <w:t xml:space="preserve">weekly income </w:t>
      </w:r>
      <w:r w:rsidR="00684710">
        <w:t>between</w:t>
      </w:r>
      <w:r>
        <w:t xml:space="preserve"> within $2,000 to $2,999. </w:t>
      </w:r>
      <w:r w:rsidR="00684710">
        <w:t xml:space="preserve"> </w:t>
      </w:r>
      <w:r>
        <w:t>In comparison</w:t>
      </w:r>
      <w:r w:rsidR="00684710">
        <w:t>,</w:t>
      </w:r>
      <w:r>
        <w:t xml:space="preserve"> </w:t>
      </w:r>
      <w:r w:rsidR="00684710">
        <w:t xml:space="preserve">only 5.3% of total </w:t>
      </w:r>
      <w:r>
        <w:t>Tasmanian workforce</w:t>
      </w:r>
      <w:r w:rsidR="00684710">
        <w:t xml:space="preserve"> fall into this weekly income bracket.</w:t>
      </w:r>
    </w:p>
    <w:p w14:paraId="2B6FB2DA" w14:textId="05A0AF3C" w:rsidR="00684710" w:rsidRDefault="00684710" w:rsidP="00684710">
      <w:pPr>
        <w:pStyle w:val="Caption"/>
      </w:pPr>
      <w:r>
        <w:t xml:space="preserve">Figure </w:t>
      </w:r>
      <w:r w:rsidR="00ED5BF8">
        <w:fldChar w:fldCharType="begin"/>
      </w:r>
      <w:r w:rsidR="00ED5BF8">
        <w:instrText xml:space="preserve"> SEQ Figure \* ARABIC </w:instrText>
      </w:r>
      <w:r w:rsidR="00ED5BF8">
        <w:fldChar w:fldCharType="separate"/>
      </w:r>
      <w:r w:rsidR="00ED4593">
        <w:rPr>
          <w:noProof/>
        </w:rPr>
        <w:t>12</w:t>
      </w:r>
      <w:r w:rsidR="00ED5BF8">
        <w:fldChar w:fldCharType="end"/>
      </w:r>
      <w:r>
        <w:t xml:space="preserve">: </w:t>
      </w:r>
      <w:r w:rsidRPr="004A5D1E">
        <w:t>Mining weekly gross income compared to all Tasmanian industries</w:t>
      </w:r>
      <w:r>
        <w:t xml:space="preserve">, </w:t>
      </w:r>
      <w:r w:rsidRPr="004A5D1E">
        <w:t>2016</w:t>
      </w:r>
      <w:r>
        <w:rPr>
          <w:rStyle w:val="FootnoteReference"/>
        </w:rPr>
        <w:footnoteReference w:id="32"/>
      </w:r>
    </w:p>
    <w:p w14:paraId="772D15EE" w14:textId="423DF08A" w:rsidR="00684710" w:rsidRPr="00132B8C" w:rsidRDefault="00A329B4" w:rsidP="00684710">
      <w:r>
        <w:rPr>
          <w:noProof/>
        </w:rPr>
        <w:drawing>
          <wp:inline distT="0" distB="0" distL="0" distR="0" wp14:anchorId="6D2B6E1F" wp14:editId="36E1E296">
            <wp:extent cx="5715000" cy="293416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72228" cy="2963550"/>
                    </a:xfrm>
                    <a:prstGeom prst="rect">
                      <a:avLst/>
                    </a:prstGeom>
                    <a:noFill/>
                  </pic:spPr>
                </pic:pic>
              </a:graphicData>
            </a:graphic>
          </wp:inline>
        </w:drawing>
      </w:r>
    </w:p>
    <w:p w14:paraId="21099C3F" w14:textId="4C473687" w:rsidR="00684710" w:rsidRDefault="00684710" w:rsidP="0011734E"/>
    <w:p w14:paraId="1B0ED0FD" w14:textId="7259A1B3" w:rsidR="00F80C8F" w:rsidRDefault="00684710" w:rsidP="0011734E">
      <w:r>
        <w:t>When comparing the income of the Tasmanian mining workforce against the mining workforces in other states</w:t>
      </w:r>
      <w:r w:rsidR="00F80C8F">
        <w:t xml:space="preserve"> (as shown in </w:t>
      </w:r>
      <w:r w:rsidR="00F80C8F">
        <w:fldChar w:fldCharType="begin"/>
      </w:r>
      <w:r w:rsidR="00F80C8F">
        <w:instrText xml:space="preserve"> REF _Ref19007743 \h </w:instrText>
      </w:r>
      <w:r w:rsidR="00F80C8F">
        <w:fldChar w:fldCharType="separate"/>
      </w:r>
      <w:r w:rsidR="00ED4593">
        <w:t xml:space="preserve">Figure </w:t>
      </w:r>
      <w:r w:rsidR="00ED4593">
        <w:rPr>
          <w:noProof/>
        </w:rPr>
        <w:t>13</w:t>
      </w:r>
      <w:r w:rsidR="00F80C8F">
        <w:fldChar w:fldCharType="end"/>
      </w:r>
      <w:r w:rsidR="00F80C8F">
        <w:t>)</w:t>
      </w:r>
      <w:r>
        <w:t xml:space="preserve">, </w:t>
      </w:r>
      <w:r w:rsidR="00F80C8F">
        <w:t>Tasmania has a lower median average income.  The median average gross weekly individual income for each state is:</w:t>
      </w:r>
    </w:p>
    <w:p w14:paraId="7861F47C" w14:textId="7A3993E4" w:rsidR="00F80C8F" w:rsidRDefault="00F80C8F" w:rsidP="00F80C8F">
      <w:pPr>
        <w:pStyle w:val="ListBullet"/>
      </w:pPr>
      <w:r>
        <w:t xml:space="preserve">Tasmania </w:t>
      </w:r>
      <w:r w:rsidR="00A329B4">
        <w:t>–</w:t>
      </w:r>
      <w:r>
        <w:t xml:space="preserve"> $1500 to </w:t>
      </w:r>
      <w:r w:rsidR="00A329B4">
        <w:t>$1749 per week</w:t>
      </w:r>
    </w:p>
    <w:p w14:paraId="505D0996" w14:textId="3C6BD64D" w:rsidR="00A329B4" w:rsidRDefault="00A329B4" w:rsidP="00F80C8F">
      <w:pPr>
        <w:pStyle w:val="ListBullet"/>
      </w:pPr>
      <w:r>
        <w:t>Victoria – $1750 to $1999 per week</w:t>
      </w:r>
    </w:p>
    <w:p w14:paraId="100923EA" w14:textId="377AAA48" w:rsidR="00A329B4" w:rsidRDefault="00A329B4" w:rsidP="00F80C8F">
      <w:pPr>
        <w:pStyle w:val="ListBullet"/>
      </w:pPr>
      <w:r>
        <w:t>Western Australia – $2000 to $2999 per week</w:t>
      </w:r>
    </w:p>
    <w:p w14:paraId="1BB29693" w14:textId="472A7F28" w:rsidR="00AE07AA" w:rsidRDefault="00A329B4" w:rsidP="0011734E">
      <w:pPr>
        <w:pStyle w:val="ListBullet"/>
      </w:pPr>
      <w:r>
        <w:t>Queensland – $2000 to $2999 per week.</w:t>
      </w:r>
    </w:p>
    <w:p w14:paraId="00B668E5" w14:textId="025A1FD8" w:rsidR="001C28CC" w:rsidRDefault="001C28CC" w:rsidP="001C28CC">
      <w:pPr>
        <w:pStyle w:val="Caption"/>
      </w:pPr>
      <w:bookmarkStart w:id="77" w:name="_Ref19007743"/>
      <w:r>
        <w:lastRenderedPageBreak/>
        <w:t xml:space="preserve">Figure </w:t>
      </w:r>
      <w:r w:rsidR="00ED5BF8">
        <w:fldChar w:fldCharType="begin"/>
      </w:r>
      <w:r w:rsidR="00ED5BF8">
        <w:instrText xml:space="preserve"> SEQ Figure \* ARABIC </w:instrText>
      </w:r>
      <w:r w:rsidR="00ED5BF8">
        <w:fldChar w:fldCharType="separate"/>
      </w:r>
      <w:r w:rsidR="00ED4593">
        <w:rPr>
          <w:noProof/>
        </w:rPr>
        <w:t>13</w:t>
      </w:r>
      <w:r w:rsidR="00ED5BF8">
        <w:fldChar w:fldCharType="end"/>
      </w:r>
      <w:bookmarkEnd w:id="77"/>
      <w:r>
        <w:t>:</w:t>
      </w:r>
      <w:r w:rsidR="00684710">
        <w:t xml:space="preserve"> </w:t>
      </w:r>
      <w:r w:rsidRPr="00070D11">
        <w:t>Comparison of different states mining workforce</w:t>
      </w:r>
      <w:r w:rsidR="001A6BAF">
        <w:t xml:space="preserve"> gross</w:t>
      </w:r>
      <w:r w:rsidRPr="00070D11">
        <w:t xml:space="preserve"> income (2016)</w:t>
      </w:r>
      <w:r w:rsidR="006C2404">
        <w:rPr>
          <w:rStyle w:val="FootnoteReference"/>
        </w:rPr>
        <w:footnoteReference w:id="33"/>
      </w:r>
      <w:r>
        <w:t>.</w:t>
      </w:r>
    </w:p>
    <w:p w14:paraId="03FA66A5" w14:textId="39982FD1" w:rsidR="00A651DE" w:rsidRDefault="00F80C8F" w:rsidP="0011734E">
      <w:r>
        <w:rPr>
          <w:noProof/>
        </w:rPr>
        <w:drawing>
          <wp:inline distT="0" distB="0" distL="0" distR="0" wp14:anchorId="3EB3ACD6" wp14:editId="61EB09AE">
            <wp:extent cx="5772150" cy="2958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19936" cy="2982766"/>
                    </a:xfrm>
                    <a:prstGeom prst="rect">
                      <a:avLst/>
                    </a:prstGeom>
                    <a:noFill/>
                  </pic:spPr>
                </pic:pic>
              </a:graphicData>
            </a:graphic>
          </wp:inline>
        </w:drawing>
      </w:r>
    </w:p>
    <w:p w14:paraId="4B401B9B" w14:textId="756FEE89" w:rsidR="00593234" w:rsidRDefault="00593234" w:rsidP="0011734E"/>
    <w:p w14:paraId="39D067D9" w14:textId="03DF9455" w:rsidR="00222BD8" w:rsidRDefault="002938DA" w:rsidP="0075788E">
      <w:pPr>
        <w:pStyle w:val="Heading2"/>
        <w:pageBreakBefore/>
        <w:ind w:left="578" w:hanging="578"/>
      </w:pPr>
      <w:bookmarkStart w:id="78" w:name="_Toc476830373"/>
      <w:bookmarkStart w:id="79" w:name="_Toc476838815"/>
      <w:bookmarkStart w:id="80" w:name="_Toc478031563"/>
      <w:bookmarkStart w:id="81" w:name="_Toc486854904"/>
      <w:bookmarkStart w:id="82" w:name="_Toc23836331"/>
      <w:bookmarkEnd w:id="67"/>
      <w:bookmarkEnd w:id="68"/>
      <w:bookmarkEnd w:id="69"/>
      <w:bookmarkEnd w:id="70"/>
      <w:bookmarkEnd w:id="71"/>
      <w:bookmarkEnd w:id="72"/>
      <w:bookmarkEnd w:id="73"/>
      <w:bookmarkEnd w:id="74"/>
      <w:r>
        <w:lastRenderedPageBreak/>
        <w:t>E</w:t>
      </w:r>
      <w:r w:rsidR="00222BD8" w:rsidRPr="00441621">
        <w:t xml:space="preserve">ducation and </w:t>
      </w:r>
      <w:r w:rsidR="00C27180">
        <w:t>T</w:t>
      </w:r>
      <w:r w:rsidR="00222BD8" w:rsidRPr="00441621">
        <w:t>raining</w:t>
      </w:r>
      <w:bookmarkEnd w:id="78"/>
      <w:bookmarkEnd w:id="79"/>
      <w:bookmarkEnd w:id="80"/>
      <w:bookmarkEnd w:id="81"/>
      <w:bookmarkEnd w:id="8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21"/>
      </w:tblGrid>
      <w:tr w:rsidR="0076215D" w:rsidRPr="00B1794C" w14:paraId="791A0A4F" w14:textId="77777777" w:rsidTr="0076215D">
        <w:trPr>
          <w:tblHeader/>
        </w:trPr>
        <w:tc>
          <w:tcPr>
            <w:tcW w:w="9621" w:type="dxa"/>
            <w:shd w:val="clear" w:color="auto" w:fill="D9E2F3" w:themeFill="accent5" w:themeFillTint="33"/>
          </w:tcPr>
          <w:p w14:paraId="720D08DD" w14:textId="1AFA92C8" w:rsidR="0076215D" w:rsidRPr="00C815D6" w:rsidRDefault="0076215D" w:rsidP="00800B91">
            <w:pPr>
              <w:rPr>
                <w:b/>
                <w:bCs/>
              </w:rPr>
            </w:pPr>
            <w:r w:rsidRPr="00C815D6">
              <w:rPr>
                <w:b/>
                <w:bCs/>
              </w:rPr>
              <w:t xml:space="preserve">Key findings </w:t>
            </w:r>
          </w:p>
        </w:tc>
      </w:tr>
      <w:tr w:rsidR="00684710" w:rsidRPr="00B1794C" w14:paraId="3520E20F" w14:textId="77777777" w:rsidTr="0076215D">
        <w:tc>
          <w:tcPr>
            <w:tcW w:w="9621" w:type="dxa"/>
            <w:shd w:val="clear" w:color="auto" w:fill="D9E2F3" w:themeFill="accent5" w:themeFillTint="33"/>
          </w:tcPr>
          <w:p w14:paraId="29EDE603" w14:textId="77777777" w:rsidR="002E1002" w:rsidRDefault="002E1002" w:rsidP="002E1002">
            <w:pPr>
              <w:pStyle w:val="ListBullet"/>
            </w:pPr>
            <w:r>
              <w:t>While the percentage of the mining workforce that hold a qualification increased between 2011 and 2016 (from 37% to 42%), this still accounts for less than half the workforce</w:t>
            </w:r>
          </w:p>
          <w:p w14:paraId="269DD29D" w14:textId="77777777" w:rsidR="002E1002" w:rsidRDefault="002E1002" w:rsidP="002E1002">
            <w:pPr>
              <w:pStyle w:val="ListBullet"/>
            </w:pPr>
            <w:r>
              <w:t>The qualifications held by the workforce are principally vocational, with 75% of the qualifications held being Certificate III and IV level</w:t>
            </w:r>
          </w:p>
          <w:p w14:paraId="45E9CB16" w14:textId="0FA59C7E" w:rsidR="00406CE0" w:rsidRPr="00B1794C" w:rsidRDefault="002E1002" w:rsidP="002E1002">
            <w:pPr>
              <w:pStyle w:val="ListBullet"/>
            </w:pPr>
            <w:r>
              <w:t>The predominant field of qualification (tertiary and vocational combined) in 2016 was in Engineering and Related Technologies</w:t>
            </w:r>
          </w:p>
        </w:tc>
      </w:tr>
    </w:tbl>
    <w:p w14:paraId="7A9D66A3" w14:textId="5763780C" w:rsidR="00061A39" w:rsidRDefault="00061A39" w:rsidP="00E23166">
      <w:bookmarkStart w:id="83" w:name="_Toc489521650"/>
      <w:bookmarkStart w:id="84" w:name="_Toc489521733"/>
      <w:bookmarkStart w:id="85" w:name="_Toc489539819"/>
      <w:r>
        <w:t>The total number of qualifications held by mining workers decreased by 20% between 2011 and 2016.</w:t>
      </w:r>
      <w:r w:rsidR="00684710">
        <w:t xml:space="preserve">  </w:t>
      </w:r>
      <w:r>
        <w:t xml:space="preserve">This decrease was across all level of educational attainment, with the largest drop being at the </w:t>
      </w:r>
      <w:r w:rsidR="00684710">
        <w:t>C</w:t>
      </w:r>
      <w:r>
        <w:t>ertificate III and IV level.</w:t>
      </w:r>
    </w:p>
    <w:p w14:paraId="1A562C58" w14:textId="07A8249E" w:rsidR="005F7B89" w:rsidRDefault="003B2D69" w:rsidP="00E23166">
      <w:r>
        <w:t xml:space="preserve">However, due to </w:t>
      </w:r>
      <w:r w:rsidR="0040138B">
        <w:t>a</w:t>
      </w:r>
      <w:r>
        <w:t xml:space="preserve"> decrease in the size of the workforce, the percentage of the total Tasmanian mining workforce with a qualification </w:t>
      </w:r>
      <w:r w:rsidR="0040138B">
        <w:t xml:space="preserve">actually </w:t>
      </w:r>
      <w:r>
        <w:t>increased from 37% in 2011 to 42% in 2016.</w:t>
      </w:r>
    </w:p>
    <w:p w14:paraId="0DFB1A5A" w14:textId="03BC8D75" w:rsidR="00F93947" w:rsidRDefault="0040138B" w:rsidP="00F93947">
      <w:pPr>
        <w:keepNext/>
      </w:pPr>
      <w:r>
        <w:fldChar w:fldCharType="begin"/>
      </w:r>
      <w:r>
        <w:instrText xml:space="preserve"> REF _Ref22628316 \h </w:instrText>
      </w:r>
      <w:r>
        <w:fldChar w:fldCharType="separate"/>
      </w:r>
      <w:r w:rsidR="00ED4593">
        <w:t xml:space="preserve">Figure </w:t>
      </w:r>
      <w:r w:rsidR="00ED4593">
        <w:rPr>
          <w:noProof/>
        </w:rPr>
        <w:t>14</w:t>
      </w:r>
      <w:r>
        <w:fldChar w:fldCharType="end"/>
      </w:r>
      <w:r w:rsidR="007F4F8F">
        <w:t xml:space="preserve"> </w:t>
      </w:r>
      <w:r w:rsidR="00F93947">
        <w:t>reveals that</w:t>
      </w:r>
      <w:r>
        <w:t xml:space="preserve"> Certificate III and IV level is the</w:t>
      </w:r>
      <w:r w:rsidR="00F93947">
        <w:t xml:space="preserve"> most common level of qualification held</w:t>
      </w:r>
      <w:r w:rsidR="00406CE0">
        <w:t xml:space="preserve">. </w:t>
      </w:r>
      <w:r>
        <w:t xml:space="preserve"> It </w:t>
      </w:r>
      <w:r w:rsidR="00406CE0">
        <w:t>also reve</w:t>
      </w:r>
      <w:r w:rsidR="00860B7B">
        <w:t>a</w:t>
      </w:r>
      <w:r w:rsidR="00406CE0">
        <w:t xml:space="preserve">ls that there has been </w:t>
      </w:r>
      <w:r>
        <w:t>little</w:t>
      </w:r>
      <w:r w:rsidR="00406CE0">
        <w:t xml:space="preserve"> change in the level of qualification</w:t>
      </w:r>
      <w:r w:rsidR="007F4F8F">
        <w:t xml:space="preserve"> attained</w:t>
      </w:r>
      <w:r w:rsidR="00406CE0">
        <w:t xml:space="preserve">, with no more </w:t>
      </w:r>
      <w:r w:rsidR="00860B7B">
        <w:t>than</w:t>
      </w:r>
      <w:r w:rsidR="00406CE0">
        <w:t xml:space="preserve"> 2</w:t>
      </w:r>
      <w:r w:rsidR="003D513A">
        <w:t>%</w:t>
      </w:r>
      <w:r w:rsidR="00406CE0">
        <w:t xml:space="preserve"> growth or decrease among any level of qualification.</w:t>
      </w:r>
    </w:p>
    <w:p w14:paraId="4FCD31C4" w14:textId="77777777" w:rsidR="00F93947" w:rsidRDefault="00F93947" w:rsidP="00E23166"/>
    <w:p w14:paraId="3D487C16" w14:textId="4DDA62E0" w:rsidR="00684710" w:rsidRDefault="00684710" w:rsidP="00684710">
      <w:pPr>
        <w:pStyle w:val="Caption"/>
      </w:pPr>
      <w:bookmarkStart w:id="86" w:name="_Ref22628316"/>
      <w:bookmarkStart w:id="87" w:name="_Ref19263801"/>
      <w:r>
        <w:t xml:space="preserve">Figure </w:t>
      </w:r>
      <w:r w:rsidR="00ED5BF8">
        <w:fldChar w:fldCharType="begin"/>
      </w:r>
      <w:r w:rsidR="00ED5BF8">
        <w:instrText xml:space="preserve"> SEQ Figure \* ARABIC </w:instrText>
      </w:r>
      <w:r w:rsidR="00ED5BF8">
        <w:fldChar w:fldCharType="separate"/>
      </w:r>
      <w:r w:rsidR="00ED4593">
        <w:rPr>
          <w:noProof/>
        </w:rPr>
        <w:t>14</w:t>
      </w:r>
      <w:r w:rsidR="00ED5BF8">
        <w:fldChar w:fldCharType="end"/>
      </w:r>
      <w:bookmarkEnd w:id="86"/>
      <w:r>
        <w:t xml:space="preserve">: </w:t>
      </w:r>
      <w:r w:rsidR="00100808">
        <w:t xml:space="preserve">Level of </w:t>
      </w:r>
      <w:r w:rsidR="00AB20CA">
        <w:t>e</w:t>
      </w:r>
      <w:r w:rsidR="00100808">
        <w:t>ducation</w:t>
      </w:r>
      <w:r w:rsidR="0097574B">
        <w:t xml:space="preserve"> of the Tasmanian mining workforce</w:t>
      </w:r>
      <w:r w:rsidR="00D41B02">
        <w:rPr>
          <w:rStyle w:val="FootnoteReference"/>
        </w:rPr>
        <w:footnoteReference w:id="34"/>
      </w:r>
      <w:bookmarkEnd w:id="87"/>
    </w:p>
    <w:p w14:paraId="499C2E47" w14:textId="67D2340C" w:rsidR="00D41B02" w:rsidRDefault="0040138B" w:rsidP="00D41B02">
      <w:r>
        <w:rPr>
          <w:noProof/>
        </w:rPr>
        <w:drawing>
          <wp:inline distT="0" distB="0" distL="0" distR="0" wp14:anchorId="3C6E130D" wp14:editId="5BCD235B">
            <wp:extent cx="5706110" cy="3096895"/>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06110" cy="3096895"/>
                    </a:xfrm>
                    <a:prstGeom prst="rect">
                      <a:avLst/>
                    </a:prstGeom>
                    <a:noFill/>
                  </pic:spPr>
                </pic:pic>
              </a:graphicData>
            </a:graphic>
          </wp:inline>
        </w:drawing>
      </w:r>
    </w:p>
    <w:p w14:paraId="661F5E04" w14:textId="77777777" w:rsidR="0097574B" w:rsidRPr="00D41B02" w:rsidRDefault="0097574B" w:rsidP="00D41B02"/>
    <w:p w14:paraId="35C3C319" w14:textId="6C42E9F7" w:rsidR="0072396D" w:rsidRDefault="003B2D69" w:rsidP="00406CE0">
      <w:pPr>
        <w:keepNext/>
      </w:pPr>
      <w:r>
        <w:lastRenderedPageBreak/>
        <w:t>The predominant field of qualification are in the Engineering and Related Technologies</w:t>
      </w:r>
      <w:r w:rsidR="00406CE0">
        <w:t xml:space="preserve"> as reflected in figure 1</w:t>
      </w:r>
      <w:r w:rsidR="00860B7B">
        <w:t>4</w:t>
      </w:r>
      <w:r w:rsidR="00406CE0">
        <w:t>.</w:t>
      </w:r>
      <w:r w:rsidR="007F4F8F">
        <w:t xml:space="preserve"> </w:t>
      </w:r>
      <w:r w:rsidR="00406CE0">
        <w:t xml:space="preserve"> The drop in the number of workers against each field of qualification is reflective of the decrease in the total workforce size between 2011 and 2016.</w:t>
      </w:r>
    </w:p>
    <w:p w14:paraId="1C89519F" w14:textId="4AD7460D" w:rsidR="00100808" w:rsidRDefault="00100808" w:rsidP="00100808">
      <w:pPr>
        <w:pStyle w:val="Caption"/>
      </w:pPr>
      <w:r>
        <w:t xml:space="preserve">Figure </w:t>
      </w:r>
      <w:r w:rsidR="00ED5BF8">
        <w:fldChar w:fldCharType="begin"/>
      </w:r>
      <w:r w:rsidR="00ED5BF8">
        <w:instrText xml:space="preserve"> SEQ Figure \* ARABIC </w:instrText>
      </w:r>
      <w:r w:rsidR="00ED5BF8">
        <w:fldChar w:fldCharType="separate"/>
      </w:r>
      <w:r w:rsidR="00ED4593">
        <w:rPr>
          <w:noProof/>
        </w:rPr>
        <w:t>15</w:t>
      </w:r>
      <w:r w:rsidR="00ED5BF8">
        <w:fldChar w:fldCharType="end"/>
      </w:r>
      <w:r>
        <w:t xml:space="preserve">: </w:t>
      </w:r>
      <w:r w:rsidR="00406CE0">
        <w:t xml:space="preserve">Field of </w:t>
      </w:r>
      <w:r w:rsidR="0097574B">
        <w:t>q</w:t>
      </w:r>
      <w:r w:rsidR="00406CE0">
        <w:t>ualification</w:t>
      </w:r>
      <w:r w:rsidR="0097574B">
        <w:t xml:space="preserve"> of the Tasmanian mining workforce</w:t>
      </w:r>
      <w:r w:rsidR="00406CE0">
        <w:rPr>
          <w:rStyle w:val="FootnoteReference"/>
        </w:rPr>
        <w:footnoteReference w:id="35"/>
      </w:r>
    </w:p>
    <w:p w14:paraId="2360AB0C" w14:textId="49F51553" w:rsidR="0072396D" w:rsidRDefault="00755EF3" w:rsidP="0072396D">
      <w:r>
        <w:rPr>
          <w:noProof/>
        </w:rPr>
        <w:drawing>
          <wp:inline distT="0" distB="0" distL="0" distR="0" wp14:anchorId="7D2BD650" wp14:editId="22023697">
            <wp:extent cx="5700395" cy="30911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00395" cy="3091180"/>
                    </a:xfrm>
                    <a:prstGeom prst="rect">
                      <a:avLst/>
                    </a:prstGeom>
                    <a:noFill/>
                  </pic:spPr>
                </pic:pic>
              </a:graphicData>
            </a:graphic>
          </wp:inline>
        </w:drawing>
      </w:r>
    </w:p>
    <w:p w14:paraId="63AB1581" w14:textId="7871C8C2" w:rsidR="0097574B" w:rsidRDefault="0097574B" w:rsidP="0072396D"/>
    <w:p w14:paraId="402FB92E" w14:textId="5A3EF05D" w:rsidR="0097574B" w:rsidRPr="0072396D" w:rsidRDefault="0083320E" w:rsidP="0072396D">
      <w:r>
        <w:t>Certificate III and IV level qualifications in the Engineering and Related Technologies field make up 60% of all qualifications held by the Tasmanian mining workforce.</w:t>
      </w:r>
      <w:r w:rsidR="00C659FC">
        <w:rPr>
          <w:rStyle w:val="FootnoteReference"/>
        </w:rPr>
        <w:footnoteReference w:id="36"/>
      </w:r>
    </w:p>
    <w:p w14:paraId="6F8084DD" w14:textId="034CC464" w:rsidR="009761EB" w:rsidRPr="00FE67BE" w:rsidRDefault="0032479B" w:rsidP="0031535C">
      <w:pPr>
        <w:pStyle w:val="Heading3"/>
      </w:pPr>
      <w:bookmarkStart w:id="88" w:name="_Toc486431713"/>
      <w:bookmarkStart w:id="89" w:name="_Toc486495733"/>
      <w:bookmarkStart w:id="90" w:name="_Toc486506712"/>
      <w:bookmarkStart w:id="91" w:name="_Toc486507299"/>
      <w:bookmarkStart w:id="92" w:name="_Toc486854751"/>
      <w:bookmarkStart w:id="93" w:name="_Toc486854905"/>
      <w:bookmarkStart w:id="94" w:name="_Toc486431714"/>
      <w:bookmarkStart w:id="95" w:name="_Toc486495734"/>
      <w:bookmarkStart w:id="96" w:name="_Toc486506713"/>
      <w:bookmarkStart w:id="97" w:name="_Toc486507300"/>
      <w:bookmarkStart w:id="98" w:name="_Toc486854752"/>
      <w:bookmarkStart w:id="99" w:name="_Toc486854906"/>
      <w:bookmarkStart w:id="100" w:name="_Toc486431715"/>
      <w:bookmarkStart w:id="101" w:name="_Toc486495735"/>
      <w:bookmarkStart w:id="102" w:name="_Toc486506714"/>
      <w:bookmarkStart w:id="103" w:name="_Toc486507301"/>
      <w:bookmarkStart w:id="104" w:name="_Toc486854753"/>
      <w:bookmarkStart w:id="105" w:name="_Toc486854907"/>
      <w:bookmarkStart w:id="106" w:name="_Toc486431717"/>
      <w:bookmarkStart w:id="107" w:name="_Toc486495737"/>
      <w:bookmarkStart w:id="108" w:name="_Toc486506716"/>
      <w:bookmarkStart w:id="109" w:name="_Toc486507303"/>
      <w:bookmarkStart w:id="110" w:name="_Toc486854755"/>
      <w:bookmarkStart w:id="111" w:name="_Toc486854909"/>
      <w:bookmarkStart w:id="112" w:name="_Toc486431718"/>
      <w:bookmarkStart w:id="113" w:name="_Toc486495738"/>
      <w:bookmarkStart w:id="114" w:name="_Toc486506717"/>
      <w:bookmarkStart w:id="115" w:name="_Toc486507304"/>
      <w:bookmarkStart w:id="116" w:name="_Toc486854756"/>
      <w:bookmarkStart w:id="117" w:name="_Toc486854910"/>
      <w:bookmarkStart w:id="118" w:name="_Toc486431720"/>
      <w:bookmarkStart w:id="119" w:name="_Toc486495740"/>
      <w:bookmarkStart w:id="120" w:name="_Toc486506719"/>
      <w:bookmarkStart w:id="121" w:name="_Toc486507306"/>
      <w:bookmarkStart w:id="122" w:name="_Toc486854758"/>
      <w:bookmarkStart w:id="123" w:name="_Toc486854912"/>
      <w:bookmarkStart w:id="124" w:name="_Toc486431721"/>
      <w:bookmarkStart w:id="125" w:name="_Toc486495741"/>
      <w:bookmarkStart w:id="126" w:name="_Toc486506720"/>
      <w:bookmarkStart w:id="127" w:name="_Toc486507307"/>
      <w:bookmarkStart w:id="128" w:name="_Toc486854759"/>
      <w:bookmarkStart w:id="129" w:name="_Toc486854913"/>
      <w:bookmarkStart w:id="130" w:name="_Toc486431723"/>
      <w:bookmarkStart w:id="131" w:name="_Toc486495743"/>
      <w:bookmarkStart w:id="132" w:name="_Toc486506722"/>
      <w:bookmarkStart w:id="133" w:name="_Toc486507309"/>
      <w:bookmarkStart w:id="134" w:name="_Toc486854761"/>
      <w:bookmarkStart w:id="135" w:name="_Toc486854915"/>
      <w:bookmarkStart w:id="136" w:name="_Toc486431730"/>
      <w:bookmarkStart w:id="137" w:name="_Toc486495750"/>
      <w:bookmarkStart w:id="138" w:name="_Toc486506729"/>
      <w:bookmarkStart w:id="139" w:name="_Toc486507316"/>
      <w:bookmarkStart w:id="140" w:name="_Toc486854768"/>
      <w:bookmarkStart w:id="141" w:name="_Toc486854922"/>
      <w:bookmarkStart w:id="142" w:name="_Toc486495755"/>
      <w:bookmarkStart w:id="143" w:name="_Toc486506734"/>
      <w:bookmarkStart w:id="144" w:name="_Toc486507321"/>
      <w:bookmarkStart w:id="145" w:name="_Toc486854773"/>
      <w:bookmarkStart w:id="146" w:name="_Toc486854927"/>
      <w:bookmarkStart w:id="147" w:name="_Toc486327311"/>
      <w:bookmarkStart w:id="148" w:name="_Toc486327382"/>
      <w:bookmarkStart w:id="149" w:name="_Toc486337457"/>
      <w:bookmarkStart w:id="150" w:name="_Toc486337571"/>
      <w:bookmarkStart w:id="151" w:name="_Toc486327312"/>
      <w:bookmarkStart w:id="152" w:name="_Toc486327383"/>
      <w:bookmarkStart w:id="153" w:name="_Toc486337458"/>
      <w:bookmarkStart w:id="154" w:name="_Toc486337572"/>
      <w:bookmarkStart w:id="155" w:name="_Toc23836332"/>
      <w:bookmarkEnd w:id="83"/>
      <w:bookmarkEnd w:id="84"/>
      <w:bookmarkEnd w:id="85"/>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t>Enrolments and Completions</w:t>
      </w:r>
      <w:bookmarkEnd w:id="155"/>
    </w:p>
    <w:p w14:paraId="1169E6B9" w14:textId="55DC7D49" w:rsidR="00FE67BE" w:rsidRDefault="00FE67BE" w:rsidP="0031535C">
      <w:r w:rsidRPr="00FE67BE">
        <w:t xml:space="preserve">The Resources and Infrastructure (RII) Training Package holds a number of different qualifications that related directly to working in the mining industry.  </w:t>
      </w:r>
      <w:r w:rsidRPr="00FE67BE">
        <w:fldChar w:fldCharType="begin"/>
      </w:r>
      <w:r w:rsidRPr="00FE67BE">
        <w:instrText xml:space="preserve"> REF _Ref20136983 \h </w:instrText>
      </w:r>
      <w:r>
        <w:instrText xml:space="preserve"> \* MERGEFORMAT </w:instrText>
      </w:r>
      <w:r w:rsidRPr="00FE67BE">
        <w:fldChar w:fldCharType="separate"/>
      </w:r>
      <w:r w:rsidR="00ED4593">
        <w:t xml:space="preserve">Table </w:t>
      </w:r>
      <w:r w:rsidR="00ED4593">
        <w:rPr>
          <w:noProof/>
        </w:rPr>
        <w:t>2</w:t>
      </w:r>
      <w:r w:rsidRPr="00FE67BE">
        <w:fldChar w:fldCharType="end"/>
      </w:r>
      <w:r w:rsidRPr="00FE67BE">
        <w:t xml:space="preserve"> shows the mining qualifications that had either enrolments or completions within Tasmania in the last five years.</w:t>
      </w:r>
    </w:p>
    <w:p w14:paraId="0C635377" w14:textId="5E0B56E0" w:rsidR="00163457" w:rsidRPr="00FE67BE" w:rsidRDefault="00163457" w:rsidP="0031535C">
      <w:r>
        <w:t>The total number of enrolments fell during each year, only beginning to increase again in 2018.  However, the percentage of completion followed the opposite course, increasing until 2016 and then falling back again.</w:t>
      </w:r>
    </w:p>
    <w:p w14:paraId="7BBDF14B" w14:textId="043DDF8D" w:rsidR="00C74E25" w:rsidRDefault="00C74E25" w:rsidP="00C74E25">
      <w:pPr>
        <w:pStyle w:val="Caption"/>
      </w:pPr>
      <w:bookmarkStart w:id="156" w:name="_Ref20136983"/>
      <w:r>
        <w:t xml:space="preserve">Table </w:t>
      </w:r>
      <w:r>
        <w:fldChar w:fldCharType="begin"/>
      </w:r>
      <w:r>
        <w:instrText xml:space="preserve"> SEQ Table \* ARABIC </w:instrText>
      </w:r>
      <w:r>
        <w:fldChar w:fldCharType="separate"/>
      </w:r>
      <w:r w:rsidR="00ED4593">
        <w:rPr>
          <w:noProof/>
        </w:rPr>
        <w:t>2</w:t>
      </w:r>
      <w:r>
        <w:fldChar w:fldCharType="end"/>
      </w:r>
      <w:bookmarkEnd w:id="156"/>
      <w:r>
        <w:t>: Resource and Infrastructure Training Package - Qualification enrolments and completions</w:t>
      </w:r>
      <w:r>
        <w:rPr>
          <w:rStyle w:val="FootnoteReference"/>
        </w:rPr>
        <w:footnoteReference w:id="37"/>
      </w:r>
    </w:p>
    <w:tbl>
      <w:tblPr>
        <w:tblStyle w:val="ListTable4-Accent11"/>
        <w:tblW w:w="5000" w:type="pct"/>
        <w:tblLook w:val="04A0" w:firstRow="1" w:lastRow="0" w:firstColumn="1" w:lastColumn="0" w:noHBand="0" w:noVBand="1"/>
      </w:tblPr>
      <w:tblGrid>
        <w:gridCol w:w="3116"/>
        <w:gridCol w:w="1317"/>
        <w:gridCol w:w="1038"/>
        <w:gridCol w:w="1037"/>
        <w:gridCol w:w="1037"/>
        <w:gridCol w:w="1037"/>
        <w:gridCol w:w="1039"/>
      </w:tblGrid>
      <w:tr w:rsidR="009042AD" w14:paraId="7173A76F" w14:textId="77777777" w:rsidTr="009E22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19" w:type="pct"/>
          </w:tcPr>
          <w:p w14:paraId="2FB5D47D" w14:textId="055D55B9" w:rsidR="00E02B1E" w:rsidRPr="00506196" w:rsidRDefault="00E02B1E" w:rsidP="00E02B1E">
            <w:pPr>
              <w:pStyle w:val="TableHeading"/>
              <w:rPr>
                <w:b/>
                <w:bCs/>
              </w:rPr>
            </w:pPr>
            <w:r w:rsidRPr="00506196">
              <w:rPr>
                <w:b/>
                <w:bCs/>
              </w:rPr>
              <w:t>Qualification</w:t>
            </w:r>
          </w:p>
        </w:tc>
        <w:tc>
          <w:tcPr>
            <w:tcW w:w="0" w:type="pct"/>
          </w:tcPr>
          <w:p w14:paraId="6DA595F3" w14:textId="3905DB37" w:rsidR="00E02B1E" w:rsidRPr="00506196" w:rsidRDefault="00E02B1E" w:rsidP="00E02B1E">
            <w:pPr>
              <w:pStyle w:val="TableHeading"/>
              <w:cnfStyle w:val="100000000000" w:firstRow="1" w:lastRow="0" w:firstColumn="0" w:lastColumn="0" w:oddVBand="0" w:evenVBand="0" w:oddHBand="0" w:evenHBand="0" w:firstRowFirstColumn="0" w:firstRowLastColumn="0" w:lastRowFirstColumn="0" w:lastRowLastColumn="0"/>
              <w:rPr>
                <w:b/>
                <w:bCs/>
              </w:rPr>
            </w:pPr>
            <w:r w:rsidRPr="00506196">
              <w:rPr>
                <w:b/>
                <w:bCs/>
              </w:rPr>
              <w:t>Type</w:t>
            </w:r>
          </w:p>
        </w:tc>
        <w:tc>
          <w:tcPr>
            <w:tcW w:w="539" w:type="pct"/>
            <w:vAlign w:val="center"/>
          </w:tcPr>
          <w:p w14:paraId="0A55E7D3" w14:textId="69755EEF" w:rsidR="00E02B1E" w:rsidRDefault="00E02B1E" w:rsidP="009E22D6">
            <w:pPr>
              <w:pStyle w:val="TableHeading"/>
              <w:jc w:val="right"/>
              <w:cnfStyle w:val="100000000000" w:firstRow="1" w:lastRow="0" w:firstColumn="0" w:lastColumn="0" w:oddVBand="0" w:evenVBand="0" w:oddHBand="0" w:evenHBand="0" w:firstRowFirstColumn="0" w:firstRowLastColumn="0" w:lastRowFirstColumn="0" w:lastRowLastColumn="0"/>
              <w:rPr>
                <w:rFonts w:cs="Arial"/>
                <w:szCs w:val="20"/>
              </w:rPr>
            </w:pPr>
            <w:r>
              <w:rPr>
                <w:rFonts w:cs="Arial"/>
                <w:b/>
                <w:bCs/>
                <w:szCs w:val="20"/>
              </w:rPr>
              <w:t>2014</w:t>
            </w:r>
          </w:p>
        </w:tc>
        <w:tc>
          <w:tcPr>
            <w:tcW w:w="539" w:type="pct"/>
            <w:vAlign w:val="center"/>
          </w:tcPr>
          <w:p w14:paraId="677A81DA" w14:textId="06CB4B91" w:rsidR="00E02B1E" w:rsidRDefault="00E02B1E" w:rsidP="009E22D6">
            <w:pPr>
              <w:pStyle w:val="TableHeading"/>
              <w:jc w:val="right"/>
              <w:cnfStyle w:val="100000000000" w:firstRow="1" w:lastRow="0" w:firstColumn="0" w:lastColumn="0" w:oddVBand="0" w:evenVBand="0" w:oddHBand="0" w:evenHBand="0" w:firstRowFirstColumn="0" w:firstRowLastColumn="0" w:lastRowFirstColumn="0" w:lastRowLastColumn="0"/>
              <w:rPr>
                <w:rFonts w:cs="Arial"/>
                <w:szCs w:val="20"/>
              </w:rPr>
            </w:pPr>
            <w:r>
              <w:rPr>
                <w:rFonts w:cs="Arial"/>
                <w:b/>
                <w:bCs/>
                <w:szCs w:val="20"/>
              </w:rPr>
              <w:t>2015</w:t>
            </w:r>
          </w:p>
        </w:tc>
        <w:tc>
          <w:tcPr>
            <w:tcW w:w="539" w:type="pct"/>
            <w:vAlign w:val="center"/>
          </w:tcPr>
          <w:p w14:paraId="7A0DD2D8" w14:textId="0C12BE42" w:rsidR="00E02B1E" w:rsidRDefault="00E02B1E" w:rsidP="009E22D6">
            <w:pPr>
              <w:pStyle w:val="TableHeading"/>
              <w:jc w:val="right"/>
              <w:cnfStyle w:val="100000000000" w:firstRow="1" w:lastRow="0" w:firstColumn="0" w:lastColumn="0" w:oddVBand="0" w:evenVBand="0" w:oddHBand="0" w:evenHBand="0" w:firstRowFirstColumn="0" w:firstRowLastColumn="0" w:lastRowFirstColumn="0" w:lastRowLastColumn="0"/>
              <w:rPr>
                <w:rFonts w:cs="Arial"/>
                <w:szCs w:val="20"/>
              </w:rPr>
            </w:pPr>
            <w:r>
              <w:rPr>
                <w:rFonts w:cs="Arial"/>
                <w:b/>
                <w:bCs/>
                <w:szCs w:val="20"/>
              </w:rPr>
              <w:t>2016</w:t>
            </w:r>
          </w:p>
        </w:tc>
        <w:tc>
          <w:tcPr>
            <w:tcW w:w="539" w:type="pct"/>
            <w:vAlign w:val="center"/>
          </w:tcPr>
          <w:p w14:paraId="1850A13A" w14:textId="5BF12ADE" w:rsidR="00E02B1E" w:rsidRDefault="00E02B1E" w:rsidP="009E22D6">
            <w:pPr>
              <w:pStyle w:val="TableHeading"/>
              <w:jc w:val="right"/>
              <w:cnfStyle w:val="100000000000" w:firstRow="1" w:lastRow="0" w:firstColumn="0" w:lastColumn="0" w:oddVBand="0" w:evenVBand="0" w:oddHBand="0" w:evenHBand="0" w:firstRowFirstColumn="0" w:firstRowLastColumn="0" w:lastRowFirstColumn="0" w:lastRowLastColumn="0"/>
              <w:rPr>
                <w:rFonts w:cs="Arial"/>
                <w:szCs w:val="20"/>
              </w:rPr>
            </w:pPr>
            <w:r>
              <w:rPr>
                <w:rFonts w:cs="Arial"/>
                <w:b/>
                <w:bCs/>
                <w:szCs w:val="20"/>
              </w:rPr>
              <w:t>2017</w:t>
            </w:r>
          </w:p>
        </w:tc>
        <w:tc>
          <w:tcPr>
            <w:tcW w:w="540" w:type="pct"/>
            <w:vAlign w:val="center"/>
          </w:tcPr>
          <w:p w14:paraId="0476839E" w14:textId="4F1168B6" w:rsidR="00E02B1E" w:rsidRDefault="00E02B1E" w:rsidP="009E22D6">
            <w:pPr>
              <w:pStyle w:val="TableHeading"/>
              <w:jc w:val="right"/>
              <w:cnfStyle w:val="100000000000" w:firstRow="1" w:lastRow="0" w:firstColumn="0" w:lastColumn="0" w:oddVBand="0" w:evenVBand="0" w:oddHBand="0" w:evenHBand="0" w:firstRowFirstColumn="0" w:firstRowLastColumn="0" w:lastRowFirstColumn="0" w:lastRowLastColumn="0"/>
            </w:pPr>
            <w:r>
              <w:rPr>
                <w:rFonts w:cs="Arial"/>
                <w:b/>
                <w:bCs/>
                <w:szCs w:val="20"/>
              </w:rPr>
              <w:t>2018</w:t>
            </w:r>
          </w:p>
        </w:tc>
      </w:tr>
      <w:tr w:rsidR="009042AD" w14:paraId="41D35FB8" w14:textId="77777777" w:rsidTr="009E2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9" w:type="pct"/>
            <w:vMerge w:val="restart"/>
            <w:vAlign w:val="center"/>
          </w:tcPr>
          <w:p w14:paraId="55BDDE9A" w14:textId="32D350E2" w:rsidR="00E02B1E" w:rsidRPr="00C02DAF" w:rsidRDefault="00E02B1E" w:rsidP="00E02B1E">
            <w:pPr>
              <w:pStyle w:val="TableText"/>
              <w:rPr>
                <w:b w:val="0"/>
                <w:bCs/>
              </w:rPr>
            </w:pPr>
            <w:r w:rsidRPr="00C02DAF">
              <w:rPr>
                <w:b w:val="0"/>
                <w:bCs/>
              </w:rPr>
              <w:t>Certificate II in Resources and Infrastructure Work Preparation</w:t>
            </w:r>
          </w:p>
        </w:tc>
        <w:tc>
          <w:tcPr>
            <w:tcW w:w="0" w:type="pct"/>
          </w:tcPr>
          <w:p w14:paraId="7011ABAF" w14:textId="6FD2CCCF" w:rsidR="00E02B1E" w:rsidRDefault="00E02B1E" w:rsidP="00E02B1E">
            <w:pPr>
              <w:pStyle w:val="TableText"/>
              <w:cnfStyle w:val="000000100000" w:firstRow="0" w:lastRow="0" w:firstColumn="0" w:lastColumn="0" w:oddVBand="0" w:evenVBand="0" w:oddHBand="1" w:evenHBand="0" w:firstRowFirstColumn="0" w:firstRowLastColumn="0" w:lastRowFirstColumn="0" w:lastRowLastColumn="0"/>
            </w:pPr>
            <w:r>
              <w:t>Enrolment</w:t>
            </w:r>
          </w:p>
        </w:tc>
        <w:tc>
          <w:tcPr>
            <w:tcW w:w="539" w:type="pct"/>
            <w:vAlign w:val="center"/>
          </w:tcPr>
          <w:p w14:paraId="73546A21" w14:textId="56C7D349" w:rsidR="00E02B1E" w:rsidRDefault="00E02B1E" w:rsidP="009E22D6">
            <w:pPr>
              <w:pStyle w:val="TableText"/>
              <w:jc w:val="right"/>
              <w:cnfStyle w:val="000000100000" w:firstRow="0" w:lastRow="0" w:firstColumn="0" w:lastColumn="0" w:oddVBand="0" w:evenVBand="0" w:oddHBand="1" w:evenHBand="0" w:firstRowFirstColumn="0" w:firstRowLastColumn="0" w:lastRowFirstColumn="0" w:lastRowLastColumn="0"/>
            </w:pPr>
            <w:r>
              <w:t>35</w:t>
            </w:r>
          </w:p>
        </w:tc>
        <w:tc>
          <w:tcPr>
            <w:tcW w:w="539" w:type="pct"/>
            <w:vAlign w:val="center"/>
          </w:tcPr>
          <w:p w14:paraId="2C180110" w14:textId="401EA3B6" w:rsidR="00E02B1E" w:rsidRDefault="00E02B1E" w:rsidP="009E22D6">
            <w:pPr>
              <w:pStyle w:val="TableText"/>
              <w:jc w:val="right"/>
              <w:cnfStyle w:val="000000100000" w:firstRow="0" w:lastRow="0" w:firstColumn="0" w:lastColumn="0" w:oddVBand="0" w:evenVBand="0" w:oddHBand="1" w:evenHBand="0" w:firstRowFirstColumn="0" w:firstRowLastColumn="0" w:lastRowFirstColumn="0" w:lastRowLastColumn="0"/>
            </w:pPr>
            <w:r>
              <w:t>33</w:t>
            </w:r>
          </w:p>
        </w:tc>
        <w:tc>
          <w:tcPr>
            <w:tcW w:w="539" w:type="pct"/>
            <w:vAlign w:val="center"/>
          </w:tcPr>
          <w:p w14:paraId="6DB03DD9" w14:textId="4619937D" w:rsidR="00E02B1E" w:rsidRDefault="00E02B1E" w:rsidP="009E22D6">
            <w:pPr>
              <w:pStyle w:val="TableText"/>
              <w:jc w:val="right"/>
              <w:cnfStyle w:val="000000100000" w:firstRow="0" w:lastRow="0" w:firstColumn="0" w:lastColumn="0" w:oddVBand="0" w:evenVBand="0" w:oddHBand="1" w:evenHBand="0" w:firstRowFirstColumn="0" w:firstRowLastColumn="0" w:lastRowFirstColumn="0" w:lastRowLastColumn="0"/>
            </w:pPr>
            <w:r>
              <w:t>3</w:t>
            </w:r>
          </w:p>
        </w:tc>
        <w:tc>
          <w:tcPr>
            <w:tcW w:w="539" w:type="pct"/>
            <w:vAlign w:val="center"/>
          </w:tcPr>
          <w:p w14:paraId="5F8AFFC2" w14:textId="4E0666DB" w:rsidR="00E02B1E" w:rsidRDefault="00E02B1E" w:rsidP="009E22D6">
            <w:pPr>
              <w:pStyle w:val="TableText"/>
              <w:jc w:val="right"/>
              <w:cnfStyle w:val="000000100000" w:firstRow="0" w:lastRow="0" w:firstColumn="0" w:lastColumn="0" w:oddVBand="0" w:evenVBand="0" w:oddHBand="1" w:evenHBand="0" w:firstRowFirstColumn="0" w:firstRowLastColumn="0" w:lastRowFirstColumn="0" w:lastRowLastColumn="0"/>
            </w:pPr>
            <w:r>
              <w:t>0</w:t>
            </w:r>
          </w:p>
        </w:tc>
        <w:tc>
          <w:tcPr>
            <w:tcW w:w="540" w:type="pct"/>
            <w:vAlign w:val="center"/>
          </w:tcPr>
          <w:p w14:paraId="70F44E6F" w14:textId="73951664" w:rsidR="00E02B1E" w:rsidRDefault="00E02B1E" w:rsidP="009E22D6">
            <w:pPr>
              <w:pStyle w:val="TableText"/>
              <w:jc w:val="right"/>
              <w:cnfStyle w:val="000000100000" w:firstRow="0" w:lastRow="0" w:firstColumn="0" w:lastColumn="0" w:oddVBand="0" w:evenVBand="0" w:oddHBand="1" w:evenHBand="0" w:firstRowFirstColumn="0" w:firstRowLastColumn="0" w:lastRowFirstColumn="0" w:lastRowLastColumn="0"/>
            </w:pPr>
            <w:r>
              <w:t>0</w:t>
            </w:r>
          </w:p>
        </w:tc>
      </w:tr>
      <w:tr w:rsidR="009042AD" w14:paraId="71C08387" w14:textId="77777777" w:rsidTr="009E22D6">
        <w:tc>
          <w:tcPr>
            <w:cnfStyle w:val="001000000000" w:firstRow="0" w:lastRow="0" w:firstColumn="1" w:lastColumn="0" w:oddVBand="0" w:evenVBand="0" w:oddHBand="0" w:evenHBand="0" w:firstRowFirstColumn="0" w:firstRowLastColumn="0" w:lastRowFirstColumn="0" w:lastRowLastColumn="0"/>
            <w:tcW w:w="1619" w:type="pct"/>
            <w:vMerge/>
            <w:vAlign w:val="center"/>
          </w:tcPr>
          <w:p w14:paraId="1546EA14" w14:textId="77777777" w:rsidR="00E02B1E" w:rsidRPr="00287A5B" w:rsidRDefault="00E02B1E" w:rsidP="00E02B1E">
            <w:pPr>
              <w:pStyle w:val="TableText"/>
              <w:rPr>
                <w:b w:val="0"/>
                <w:bCs/>
              </w:rPr>
            </w:pPr>
          </w:p>
        </w:tc>
        <w:tc>
          <w:tcPr>
            <w:tcW w:w="0" w:type="pct"/>
          </w:tcPr>
          <w:p w14:paraId="5C8EC66C" w14:textId="0CF70031" w:rsidR="00E02B1E" w:rsidRDefault="00E02B1E" w:rsidP="00E02B1E">
            <w:pPr>
              <w:pStyle w:val="TableText"/>
              <w:cnfStyle w:val="000000000000" w:firstRow="0" w:lastRow="0" w:firstColumn="0" w:lastColumn="0" w:oddVBand="0" w:evenVBand="0" w:oddHBand="0" w:evenHBand="0" w:firstRowFirstColumn="0" w:firstRowLastColumn="0" w:lastRowFirstColumn="0" w:lastRowLastColumn="0"/>
            </w:pPr>
            <w:r>
              <w:t>Completion</w:t>
            </w:r>
          </w:p>
        </w:tc>
        <w:tc>
          <w:tcPr>
            <w:tcW w:w="539" w:type="pct"/>
            <w:vAlign w:val="center"/>
          </w:tcPr>
          <w:p w14:paraId="0C11DB63" w14:textId="4B0176E7" w:rsidR="00E02B1E" w:rsidRDefault="00E02B1E" w:rsidP="009E22D6">
            <w:pPr>
              <w:pStyle w:val="TableText"/>
              <w:jc w:val="right"/>
              <w:cnfStyle w:val="000000000000" w:firstRow="0" w:lastRow="0" w:firstColumn="0" w:lastColumn="0" w:oddVBand="0" w:evenVBand="0" w:oddHBand="0" w:evenHBand="0" w:firstRowFirstColumn="0" w:firstRowLastColumn="0" w:lastRowFirstColumn="0" w:lastRowLastColumn="0"/>
            </w:pPr>
            <w:r>
              <w:t>7</w:t>
            </w:r>
          </w:p>
        </w:tc>
        <w:tc>
          <w:tcPr>
            <w:tcW w:w="539" w:type="pct"/>
            <w:vAlign w:val="center"/>
          </w:tcPr>
          <w:p w14:paraId="484693DC" w14:textId="727B5322" w:rsidR="00E02B1E" w:rsidRDefault="00E02B1E" w:rsidP="009E22D6">
            <w:pPr>
              <w:pStyle w:val="TableText"/>
              <w:jc w:val="right"/>
              <w:cnfStyle w:val="000000000000" w:firstRow="0" w:lastRow="0" w:firstColumn="0" w:lastColumn="0" w:oddVBand="0" w:evenVBand="0" w:oddHBand="0" w:evenHBand="0" w:firstRowFirstColumn="0" w:firstRowLastColumn="0" w:lastRowFirstColumn="0" w:lastRowLastColumn="0"/>
            </w:pPr>
            <w:r>
              <w:t>12</w:t>
            </w:r>
          </w:p>
        </w:tc>
        <w:tc>
          <w:tcPr>
            <w:tcW w:w="539" w:type="pct"/>
            <w:vAlign w:val="center"/>
          </w:tcPr>
          <w:p w14:paraId="77CA8E89" w14:textId="5E3BEE03" w:rsidR="00E02B1E" w:rsidRDefault="00E02B1E" w:rsidP="009E22D6">
            <w:pPr>
              <w:pStyle w:val="TableText"/>
              <w:jc w:val="right"/>
              <w:cnfStyle w:val="000000000000" w:firstRow="0" w:lastRow="0" w:firstColumn="0" w:lastColumn="0" w:oddVBand="0" w:evenVBand="0" w:oddHBand="0" w:evenHBand="0" w:firstRowFirstColumn="0" w:firstRowLastColumn="0" w:lastRowFirstColumn="0" w:lastRowLastColumn="0"/>
            </w:pPr>
            <w:r>
              <w:t>5</w:t>
            </w:r>
          </w:p>
        </w:tc>
        <w:tc>
          <w:tcPr>
            <w:tcW w:w="539" w:type="pct"/>
            <w:vAlign w:val="center"/>
          </w:tcPr>
          <w:p w14:paraId="176D34D5" w14:textId="66A4C216" w:rsidR="00E02B1E" w:rsidRDefault="00E02B1E" w:rsidP="009E22D6">
            <w:pPr>
              <w:pStyle w:val="TableText"/>
              <w:jc w:val="right"/>
              <w:cnfStyle w:val="000000000000" w:firstRow="0" w:lastRow="0" w:firstColumn="0" w:lastColumn="0" w:oddVBand="0" w:evenVBand="0" w:oddHBand="0" w:evenHBand="0" w:firstRowFirstColumn="0" w:firstRowLastColumn="0" w:lastRowFirstColumn="0" w:lastRowLastColumn="0"/>
            </w:pPr>
            <w:r>
              <w:t>0</w:t>
            </w:r>
          </w:p>
        </w:tc>
        <w:tc>
          <w:tcPr>
            <w:tcW w:w="540" w:type="pct"/>
            <w:vAlign w:val="center"/>
          </w:tcPr>
          <w:p w14:paraId="6C5F102C" w14:textId="52A79720" w:rsidR="00E02B1E" w:rsidRDefault="00E02B1E" w:rsidP="009E22D6">
            <w:pPr>
              <w:pStyle w:val="TableText"/>
              <w:jc w:val="right"/>
              <w:cnfStyle w:val="000000000000" w:firstRow="0" w:lastRow="0" w:firstColumn="0" w:lastColumn="0" w:oddVBand="0" w:evenVBand="0" w:oddHBand="0" w:evenHBand="0" w:firstRowFirstColumn="0" w:firstRowLastColumn="0" w:lastRowFirstColumn="0" w:lastRowLastColumn="0"/>
            </w:pPr>
            <w:r>
              <w:t>0</w:t>
            </w:r>
          </w:p>
        </w:tc>
      </w:tr>
      <w:tr w:rsidR="009042AD" w14:paraId="3BE88C8D" w14:textId="77777777" w:rsidTr="009E2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9" w:type="pct"/>
            <w:vMerge w:val="restart"/>
            <w:vAlign w:val="center"/>
          </w:tcPr>
          <w:p w14:paraId="31751C8C" w14:textId="0ECE4454" w:rsidR="00E02B1E" w:rsidRPr="00287A5B" w:rsidRDefault="00E02B1E" w:rsidP="00E02B1E">
            <w:pPr>
              <w:pStyle w:val="TableText"/>
              <w:rPr>
                <w:b w:val="0"/>
                <w:bCs/>
              </w:rPr>
            </w:pPr>
            <w:r w:rsidRPr="00287A5B">
              <w:rPr>
                <w:b w:val="0"/>
                <w:bCs/>
              </w:rPr>
              <w:t>Certificate II in Surface Extraction Operations</w:t>
            </w:r>
          </w:p>
        </w:tc>
        <w:tc>
          <w:tcPr>
            <w:tcW w:w="0" w:type="pct"/>
          </w:tcPr>
          <w:p w14:paraId="74D50651" w14:textId="5B53C8EE" w:rsidR="00E02B1E" w:rsidRDefault="00E02B1E" w:rsidP="00E02B1E">
            <w:pPr>
              <w:pStyle w:val="TableText"/>
              <w:cnfStyle w:val="000000100000" w:firstRow="0" w:lastRow="0" w:firstColumn="0" w:lastColumn="0" w:oddVBand="0" w:evenVBand="0" w:oddHBand="1" w:evenHBand="0" w:firstRowFirstColumn="0" w:firstRowLastColumn="0" w:lastRowFirstColumn="0" w:lastRowLastColumn="0"/>
            </w:pPr>
            <w:r>
              <w:t>Enrolment</w:t>
            </w:r>
          </w:p>
        </w:tc>
        <w:tc>
          <w:tcPr>
            <w:tcW w:w="539" w:type="pct"/>
            <w:vAlign w:val="center"/>
          </w:tcPr>
          <w:p w14:paraId="18DD9094" w14:textId="123B5E87" w:rsidR="00E02B1E" w:rsidRDefault="00E02B1E" w:rsidP="009E22D6">
            <w:pPr>
              <w:pStyle w:val="TableText"/>
              <w:jc w:val="right"/>
              <w:cnfStyle w:val="000000100000" w:firstRow="0" w:lastRow="0" w:firstColumn="0" w:lastColumn="0" w:oddVBand="0" w:evenVBand="0" w:oddHBand="1" w:evenHBand="0" w:firstRowFirstColumn="0" w:firstRowLastColumn="0" w:lastRowFirstColumn="0" w:lastRowLastColumn="0"/>
            </w:pPr>
            <w:r>
              <w:t>1</w:t>
            </w:r>
          </w:p>
        </w:tc>
        <w:tc>
          <w:tcPr>
            <w:tcW w:w="539" w:type="pct"/>
            <w:vAlign w:val="center"/>
          </w:tcPr>
          <w:p w14:paraId="4E132A88" w14:textId="00312D47" w:rsidR="00E02B1E" w:rsidRDefault="00E02B1E" w:rsidP="009E22D6">
            <w:pPr>
              <w:pStyle w:val="TableText"/>
              <w:jc w:val="right"/>
              <w:cnfStyle w:val="000000100000" w:firstRow="0" w:lastRow="0" w:firstColumn="0" w:lastColumn="0" w:oddVBand="0" w:evenVBand="0" w:oddHBand="1" w:evenHBand="0" w:firstRowFirstColumn="0" w:firstRowLastColumn="0" w:lastRowFirstColumn="0" w:lastRowLastColumn="0"/>
            </w:pPr>
            <w:r>
              <w:t>4</w:t>
            </w:r>
          </w:p>
        </w:tc>
        <w:tc>
          <w:tcPr>
            <w:tcW w:w="539" w:type="pct"/>
            <w:vAlign w:val="center"/>
          </w:tcPr>
          <w:p w14:paraId="7B2FCC70" w14:textId="3C26CD7F" w:rsidR="00E02B1E" w:rsidRDefault="00E02B1E" w:rsidP="009E22D6">
            <w:pPr>
              <w:pStyle w:val="TableText"/>
              <w:jc w:val="right"/>
              <w:cnfStyle w:val="000000100000" w:firstRow="0" w:lastRow="0" w:firstColumn="0" w:lastColumn="0" w:oddVBand="0" w:evenVBand="0" w:oddHBand="1" w:evenHBand="0" w:firstRowFirstColumn="0" w:firstRowLastColumn="0" w:lastRowFirstColumn="0" w:lastRowLastColumn="0"/>
            </w:pPr>
            <w:r>
              <w:t>2</w:t>
            </w:r>
          </w:p>
        </w:tc>
        <w:tc>
          <w:tcPr>
            <w:tcW w:w="539" w:type="pct"/>
            <w:vAlign w:val="center"/>
          </w:tcPr>
          <w:p w14:paraId="69E1DE43" w14:textId="59B6C0B9" w:rsidR="00E02B1E" w:rsidRDefault="00E02B1E" w:rsidP="009E22D6">
            <w:pPr>
              <w:pStyle w:val="TableText"/>
              <w:jc w:val="right"/>
              <w:cnfStyle w:val="000000100000" w:firstRow="0" w:lastRow="0" w:firstColumn="0" w:lastColumn="0" w:oddVBand="0" w:evenVBand="0" w:oddHBand="1" w:evenHBand="0" w:firstRowFirstColumn="0" w:firstRowLastColumn="0" w:lastRowFirstColumn="0" w:lastRowLastColumn="0"/>
            </w:pPr>
            <w:r>
              <w:t>0</w:t>
            </w:r>
          </w:p>
        </w:tc>
        <w:tc>
          <w:tcPr>
            <w:tcW w:w="540" w:type="pct"/>
            <w:vAlign w:val="center"/>
          </w:tcPr>
          <w:p w14:paraId="2B603B00" w14:textId="5B4F21C9" w:rsidR="00E02B1E" w:rsidRDefault="00E02B1E" w:rsidP="009E22D6">
            <w:pPr>
              <w:pStyle w:val="TableText"/>
              <w:jc w:val="right"/>
              <w:cnfStyle w:val="000000100000" w:firstRow="0" w:lastRow="0" w:firstColumn="0" w:lastColumn="0" w:oddVBand="0" w:evenVBand="0" w:oddHBand="1" w:evenHBand="0" w:firstRowFirstColumn="0" w:firstRowLastColumn="0" w:lastRowFirstColumn="0" w:lastRowLastColumn="0"/>
            </w:pPr>
            <w:r>
              <w:t>0</w:t>
            </w:r>
          </w:p>
        </w:tc>
      </w:tr>
      <w:tr w:rsidR="009042AD" w14:paraId="29AEC847" w14:textId="77777777" w:rsidTr="009E22D6">
        <w:tc>
          <w:tcPr>
            <w:cnfStyle w:val="001000000000" w:firstRow="0" w:lastRow="0" w:firstColumn="1" w:lastColumn="0" w:oddVBand="0" w:evenVBand="0" w:oddHBand="0" w:evenHBand="0" w:firstRowFirstColumn="0" w:firstRowLastColumn="0" w:lastRowFirstColumn="0" w:lastRowLastColumn="0"/>
            <w:tcW w:w="1619" w:type="pct"/>
            <w:vMerge/>
            <w:vAlign w:val="center"/>
          </w:tcPr>
          <w:p w14:paraId="6364CF1E" w14:textId="77777777" w:rsidR="00E02B1E" w:rsidRPr="00287A5B" w:rsidRDefault="00E02B1E" w:rsidP="00E02B1E">
            <w:pPr>
              <w:pStyle w:val="TableText"/>
              <w:rPr>
                <w:b w:val="0"/>
                <w:bCs/>
              </w:rPr>
            </w:pPr>
          </w:p>
        </w:tc>
        <w:tc>
          <w:tcPr>
            <w:tcW w:w="0" w:type="pct"/>
          </w:tcPr>
          <w:p w14:paraId="2D6AA032" w14:textId="05713DE4" w:rsidR="00E02B1E" w:rsidRDefault="00E02B1E" w:rsidP="00E02B1E">
            <w:pPr>
              <w:pStyle w:val="TableText"/>
              <w:cnfStyle w:val="000000000000" w:firstRow="0" w:lastRow="0" w:firstColumn="0" w:lastColumn="0" w:oddVBand="0" w:evenVBand="0" w:oddHBand="0" w:evenHBand="0" w:firstRowFirstColumn="0" w:firstRowLastColumn="0" w:lastRowFirstColumn="0" w:lastRowLastColumn="0"/>
            </w:pPr>
            <w:r>
              <w:t>Completion</w:t>
            </w:r>
          </w:p>
        </w:tc>
        <w:tc>
          <w:tcPr>
            <w:tcW w:w="539" w:type="pct"/>
            <w:vAlign w:val="center"/>
          </w:tcPr>
          <w:p w14:paraId="2EB2BA95" w14:textId="0AA61605" w:rsidR="00E02B1E" w:rsidRDefault="00E02B1E" w:rsidP="009E22D6">
            <w:pPr>
              <w:pStyle w:val="TableText"/>
              <w:jc w:val="right"/>
              <w:cnfStyle w:val="000000000000" w:firstRow="0" w:lastRow="0" w:firstColumn="0" w:lastColumn="0" w:oddVBand="0" w:evenVBand="0" w:oddHBand="0" w:evenHBand="0" w:firstRowFirstColumn="0" w:firstRowLastColumn="0" w:lastRowFirstColumn="0" w:lastRowLastColumn="0"/>
            </w:pPr>
            <w:r>
              <w:t>0</w:t>
            </w:r>
          </w:p>
        </w:tc>
        <w:tc>
          <w:tcPr>
            <w:tcW w:w="539" w:type="pct"/>
            <w:vAlign w:val="center"/>
          </w:tcPr>
          <w:p w14:paraId="2BF342D7" w14:textId="79A29BE3" w:rsidR="00E02B1E" w:rsidRDefault="00E02B1E" w:rsidP="009E22D6">
            <w:pPr>
              <w:pStyle w:val="TableText"/>
              <w:jc w:val="right"/>
              <w:cnfStyle w:val="000000000000" w:firstRow="0" w:lastRow="0" w:firstColumn="0" w:lastColumn="0" w:oddVBand="0" w:evenVBand="0" w:oddHBand="0" w:evenHBand="0" w:firstRowFirstColumn="0" w:firstRowLastColumn="0" w:lastRowFirstColumn="0" w:lastRowLastColumn="0"/>
            </w:pPr>
            <w:r>
              <w:t>0</w:t>
            </w:r>
          </w:p>
        </w:tc>
        <w:tc>
          <w:tcPr>
            <w:tcW w:w="539" w:type="pct"/>
            <w:vAlign w:val="center"/>
          </w:tcPr>
          <w:p w14:paraId="18A85B93" w14:textId="37A643E6" w:rsidR="00E02B1E" w:rsidRDefault="00E02B1E" w:rsidP="009E22D6">
            <w:pPr>
              <w:pStyle w:val="TableText"/>
              <w:jc w:val="right"/>
              <w:cnfStyle w:val="000000000000" w:firstRow="0" w:lastRow="0" w:firstColumn="0" w:lastColumn="0" w:oddVBand="0" w:evenVBand="0" w:oddHBand="0" w:evenHBand="0" w:firstRowFirstColumn="0" w:firstRowLastColumn="0" w:lastRowFirstColumn="0" w:lastRowLastColumn="0"/>
            </w:pPr>
            <w:r>
              <w:t>0</w:t>
            </w:r>
          </w:p>
        </w:tc>
        <w:tc>
          <w:tcPr>
            <w:tcW w:w="539" w:type="pct"/>
            <w:vAlign w:val="center"/>
          </w:tcPr>
          <w:p w14:paraId="62596041" w14:textId="530C6747" w:rsidR="00E02B1E" w:rsidRDefault="00E02B1E" w:rsidP="009E22D6">
            <w:pPr>
              <w:pStyle w:val="TableText"/>
              <w:jc w:val="right"/>
              <w:cnfStyle w:val="000000000000" w:firstRow="0" w:lastRow="0" w:firstColumn="0" w:lastColumn="0" w:oddVBand="0" w:evenVBand="0" w:oddHBand="0" w:evenHBand="0" w:firstRowFirstColumn="0" w:firstRowLastColumn="0" w:lastRowFirstColumn="0" w:lastRowLastColumn="0"/>
            </w:pPr>
            <w:r>
              <w:t>0</w:t>
            </w:r>
          </w:p>
        </w:tc>
        <w:tc>
          <w:tcPr>
            <w:tcW w:w="540" w:type="pct"/>
            <w:vAlign w:val="center"/>
          </w:tcPr>
          <w:p w14:paraId="6E906006" w14:textId="1700B720" w:rsidR="00E02B1E" w:rsidRDefault="00E02B1E" w:rsidP="009E22D6">
            <w:pPr>
              <w:pStyle w:val="TableText"/>
              <w:jc w:val="right"/>
              <w:cnfStyle w:val="000000000000" w:firstRow="0" w:lastRow="0" w:firstColumn="0" w:lastColumn="0" w:oddVBand="0" w:evenVBand="0" w:oddHBand="0" w:evenHBand="0" w:firstRowFirstColumn="0" w:firstRowLastColumn="0" w:lastRowFirstColumn="0" w:lastRowLastColumn="0"/>
            </w:pPr>
            <w:r>
              <w:t>0</w:t>
            </w:r>
          </w:p>
        </w:tc>
      </w:tr>
      <w:tr w:rsidR="009042AD" w14:paraId="79BBDA0A" w14:textId="77777777" w:rsidTr="009E2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9" w:type="pct"/>
            <w:vMerge w:val="restart"/>
            <w:vAlign w:val="center"/>
          </w:tcPr>
          <w:p w14:paraId="31460DA8" w14:textId="6AEF88B1" w:rsidR="00E02B1E" w:rsidRPr="00287A5B" w:rsidRDefault="00E02B1E" w:rsidP="00E02B1E">
            <w:pPr>
              <w:pStyle w:val="TableText"/>
              <w:rPr>
                <w:b w:val="0"/>
                <w:bCs/>
              </w:rPr>
            </w:pPr>
            <w:r w:rsidRPr="00287A5B">
              <w:rPr>
                <w:b w:val="0"/>
                <w:bCs/>
              </w:rPr>
              <w:t>Certificate II in Underground Metalliferous Mining</w:t>
            </w:r>
          </w:p>
        </w:tc>
        <w:tc>
          <w:tcPr>
            <w:tcW w:w="0" w:type="pct"/>
          </w:tcPr>
          <w:p w14:paraId="6786B2E8" w14:textId="1A13710C" w:rsidR="00E02B1E" w:rsidRDefault="00E02B1E" w:rsidP="00E02B1E">
            <w:pPr>
              <w:pStyle w:val="TableText"/>
              <w:cnfStyle w:val="000000100000" w:firstRow="0" w:lastRow="0" w:firstColumn="0" w:lastColumn="0" w:oddVBand="0" w:evenVBand="0" w:oddHBand="1" w:evenHBand="0" w:firstRowFirstColumn="0" w:firstRowLastColumn="0" w:lastRowFirstColumn="0" w:lastRowLastColumn="0"/>
            </w:pPr>
            <w:r>
              <w:t>Enrolment</w:t>
            </w:r>
          </w:p>
        </w:tc>
        <w:tc>
          <w:tcPr>
            <w:tcW w:w="539" w:type="pct"/>
            <w:vAlign w:val="center"/>
          </w:tcPr>
          <w:p w14:paraId="127008BA" w14:textId="20A78167" w:rsidR="00E02B1E" w:rsidRDefault="00E02B1E" w:rsidP="009E22D6">
            <w:pPr>
              <w:pStyle w:val="TableText"/>
              <w:jc w:val="right"/>
              <w:cnfStyle w:val="000000100000" w:firstRow="0" w:lastRow="0" w:firstColumn="0" w:lastColumn="0" w:oddVBand="0" w:evenVBand="0" w:oddHBand="1" w:evenHBand="0" w:firstRowFirstColumn="0" w:firstRowLastColumn="0" w:lastRowFirstColumn="0" w:lastRowLastColumn="0"/>
            </w:pPr>
            <w:r>
              <w:t>2</w:t>
            </w:r>
          </w:p>
        </w:tc>
        <w:tc>
          <w:tcPr>
            <w:tcW w:w="539" w:type="pct"/>
            <w:vAlign w:val="center"/>
          </w:tcPr>
          <w:p w14:paraId="7EEC8154" w14:textId="6E433BEA" w:rsidR="00E02B1E" w:rsidRDefault="00E02B1E" w:rsidP="009E22D6">
            <w:pPr>
              <w:pStyle w:val="TableText"/>
              <w:jc w:val="right"/>
              <w:cnfStyle w:val="000000100000" w:firstRow="0" w:lastRow="0" w:firstColumn="0" w:lastColumn="0" w:oddVBand="0" w:evenVBand="0" w:oddHBand="1" w:evenHBand="0" w:firstRowFirstColumn="0" w:firstRowLastColumn="0" w:lastRowFirstColumn="0" w:lastRowLastColumn="0"/>
            </w:pPr>
            <w:r>
              <w:t>0</w:t>
            </w:r>
          </w:p>
        </w:tc>
        <w:tc>
          <w:tcPr>
            <w:tcW w:w="539" w:type="pct"/>
            <w:vAlign w:val="center"/>
          </w:tcPr>
          <w:p w14:paraId="29E098C2" w14:textId="0087A254" w:rsidR="00E02B1E" w:rsidRDefault="00E02B1E" w:rsidP="009E22D6">
            <w:pPr>
              <w:pStyle w:val="TableText"/>
              <w:jc w:val="right"/>
              <w:cnfStyle w:val="000000100000" w:firstRow="0" w:lastRow="0" w:firstColumn="0" w:lastColumn="0" w:oddVBand="0" w:evenVBand="0" w:oddHBand="1" w:evenHBand="0" w:firstRowFirstColumn="0" w:firstRowLastColumn="0" w:lastRowFirstColumn="0" w:lastRowLastColumn="0"/>
            </w:pPr>
            <w:r>
              <w:t>0</w:t>
            </w:r>
          </w:p>
        </w:tc>
        <w:tc>
          <w:tcPr>
            <w:tcW w:w="539" w:type="pct"/>
            <w:vAlign w:val="center"/>
          </w:tcPr>
          <w:p w14:paraId="22E5D680" w14:textId="1DE2E21E" w:rsidR="00E02B1E" w:rsidRDefault="00E02B1E" w:rsidP="009E22D6">
            <w:pPr>
              <w:pStyle w:val="TableText"/>
              <w:jc w:val="right"/>
              <w:cnfStyle w:val="000000100000" w:firstRow="0" w:lastRow="0" w:firstColumn="0" w:lastColumn="0" w:oddVBand="0" w:evenVBand="0" w:oddHBand="1" w:evenHBand="0" w:firstRowFirstColumn="0" w:firstRowLastColumn="0" w:lastRowFirstColumn="0" w:lastRowLastColumn="0"/>
            </w:pPr>
            <w:r>
              <w:t>0</w:t>
            </w:r>
          </w:p>
        </w:tc>
        <w:tc>
          <w:tcPr>
            <w:tcW w:w="540" w:type="pct"/>
            <w:vAlign w:val="center"/>
          </w:tcPr>
          <w:p w14:paraId="358A560F" w14:textId="293B45C2" w:rsidR="00E02B1E" w:rsidRDefault="00E02B1E" w:rsidP="009E22D6">
            <w:pPr>
              <w:pStyle w:val="TableText"/>
              <w:jc w:val="right"/>
              <w:cnfStyle w:val="000000100000" w:firstRow="0" w:lastRow="0" w:firstColumn="0" w:lastColumn="0" w:oddVBand="0" w:evenVBand="0" w:oddHBand="1" w:evenHBand="0" w:firstRowFirstColumn="0" w:firstRowLastColumn="0" w:lastRowFirstColumn="0" w:lastRowLastColumn="0"/>
            </w:pPr>
            <w:r>
              <w:t>0</w:t>
            </w:r>
          </w:p>
        </w:tc>
      </w:tr>
      <w:tr w:rsidR="009042AD" w14:paraId="28F00D37" w14:textId="77777777" w:rsidTr="009E22D6">
        <w:tc>
          <w:tcPr>
            <w:cnfStyle w:val="001000000000" w:firstRow="0" w:lastRow="0" w:firstColumn="1" w:lastColumn="0" w:oddVBand="0" w:evenVBand="0" w:oddHBand="0" w:evenHBand="0" w:firstRowFirstColumn="0" w:firstRowLastColumn="0" w:lastRowFirstColumn="0" w:lastRowLastColumn="0"/>
            <w:tcW w:w="1619" w:type="pct"/>
            <w:vMerge/>
            <w:vAlign w:val="center"/>
          </w:tcPr>
          <w:p w14:paraId="36A8B3C9" w14:textId="77777777" w:rsidR="00E02B1E" w:rsidRPr="00287A5B" w:rsidRDefault="00E02B1E" w:rsidP="00E02B1E">
            <w:pPr>
              <w:pStyle w:val="TableText"/>
              <w:rPr>
                <w:b w:val="0"/>
                <w:bCs/>
              </w:rPr>
            </w:pPr>
          </w:p>
        </w:tc>
        <w:tc>
          <w:tcPr>
            <w:tcW w:w="0" w:type="pct"/>
          </w:tcPr>
          <w:p w14:paraId="0105ED21" w14:textId="7418CCD4" w:rsidR="00E02B1E" w:rsidRDefault="00E02B1E" w:rsidP="00E02B1E">
            <w:pPr>
              <w:pStyle w:val="TableText"/>
              <w:cnfStyle w:val="000000000000" w:firstRow="0" w:lastRow="0" w:firstColumn="0" w:lastColumn="0" w:oddVBand="0" w:evenVBand="0" w:oddHBand="0" w:evenHBand="0" w:firstRowFirstColumn="0" w:firstRowLastColumn="0" w:lastRowFirstColumn="0" w:lastRowLastColumn="0"/>
            </w:pPr>
            <w:r>
              <w:t>Completion</w:t>
            </w:r>
          </w:p>
        </w:tc>
        <w:tc>
          <w:tcPr>
            <w:tcW w:w="539" w:type="pct"/>
            <w:vAlign w:val="center"/>
          </w:tcPr>
          <w:p w14:paraId="27FA9BD5" w14:textId="551C201D" w:rsidR="00E02B1E" w:rsidRDefault="00E02B1E" w:rsidP="009E22D6">
            <w:pPr>
              <w:pStyle w:val="TableText"/>
              <w:jc w:val="right"/>
              <w:cnfStyle w:val="000000000000" w:firstRow="0" w:lastRow="0" w:firstColumn="0" w:lastColumn="0" w:oddVBand="0" w:evenVBand="0" w:oddHBand="0" w:evenHBand="0" w:firstRowFirstColumn="0" w:firstRowLastColumn="0" w:lastRowFirstColumn="0" w:lastRowLastColumn="0"/>
            </w:pPr>
            <w:r>
              <w:t>0</w:t>
            </w:r>
          </w:p>
        </w:tc>
        <w:tc>
          <w:tcPr>
            <w:tcW w:w="539" w:type="pct"/>
            <w:vAlign w:val="center"/>
          </w:tcPr>
          <w:p w14:paraId="428C213F" w14:textId="245E702D" w:rsidR="00E02B1E" w:rsidRDefault="00E02B1E" w:rsidP="009E22D6">
            <w:pPr>
              <w:pStyle w:val="TableText"/>
              <w:jc w:val="right"/>
              <w:cnfStyle w:val="000000000000" w:firstRow="0" w:lastRow="0" w:firstColumn="0" w:lastColumn="0" w:oddVBand="0" w:evenVBand="0" w:oddHBand="0" w:evenHBand="0" w:firstRowFirstColumn="0" w:firstRowLastColumn="0" w:lastRowFirstColumn="0" w:lastRowLastColumn="0"/>
            </w:pPr>
            <w:r>
              <w:t>0</w:t>
            </w:r>
          </w:p>
        </w:tc>
        <w:tc>
          <w:tcPr>
            <w:tcW w:w="539" w:type="pct"/>
            <w:vAlign w:val="center"/>
          </w:tcPr>
          <w:p w14:paraId="4983E4C6" w14:textId="6E6B26D6" w:rsidR="00E02B1E" w:rsidRDefault="00E02B1E" w:rsidP="009E22D6">
            <w:pPr>
              <w:pStyle w:val="TableText"/>
              <w:jc w:val="right"/>
              <w:cnfStyle w:val="000000000000" w:firstRow="0" w:lastRow="0" w:firstColumn="0" w:lastColumn="0" w:oddVBand="0" w:evenVBand="0" w:oddHBand="0" w:evenHBand="0" w:firstRowFirstColumn="0" w:firstRowLastColumn="0" w:lastRowFirstColumn="0" w:lastRowLastColumn="0"/>
            </w:pPr>
            <w:r>
              <w:t>0</w:t>
            </w:r>
          </w:p>
        </w:tc>
        <w:tc>
          <w:tcPr>
            <w:tcW w:w="539" w:type="pct"/>
            <w:vAlign w:val="center"/>
          </w:tcPr>
          <w:p w14:paraId="752F16FC" w14:textId="24094BC7" w:rsidR="00E02B1E" w:rsidRDefault="00E02B1E" w:rsidP="009E22D6">
            <w:pPr>
              <w:pStyle w:val="TableText"/>
              <w:jc w:val="right"/>
              <w:cnfStyle w:val="000000000000" w:firstRow="0" w:lastRow="0" w:firstColumn="0" w:lastColumn="0" w:oddVBand="0" w:evenVBand="0" w:oddHBand="0" w:evenHBand="0" w:firstRowFirstColumn="0" w:firstRowLastColumn="0" w:lastRowFirstColumn="0" w:lastRowLastColumn="0"/>
            </w:pPr>
            <w:r>
              <w:t>0</w:t>
            </w:r>
          </w:p>
        </w:tc>
        <w:tc>
          <w:tcPr>
            <w:tcW w:w="540" w:type="pct"/>
            <w:vAlign w:val="center"/>
          </w:tcPr>
          <w:p w14:paraId="5B66CCED" w14:textId="4A359361" w:rsidR="00E02B1E" w:rsidRDefault="00E02B1E" w:rsidP="009E22D6">
            <w:pPr>
              <w:pStyle w:val="TableText"/>
              <w:jc w:val="right"/>
              <w:cnfStyle w:val="000000000000" w:firstRow="0" w:lastRow="0" w:firstColumn="0" w:lastColumn="0" w:oddVBand="0" w:evenVBand="0" w:oddHBand="0" w:evenHBand="0" w:firstRowFirstColumn="0" w:firstRowLastColumn="0" w:lastRowFirstColumn="0" w:lastRowLastColumn="0"/>
            </w:pPr>
            <w:r>
              <w:t>0</w:t>
            </w:r>
          </w:p>
        </w:tc>
      </w:tr>
      <w:tr w:rsidR="009042AD" w14:paraId="542AAF8B" w14:textId="77777777" w:rsidTr="009E2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9" w:type="pct"/>
            <w:vMerge w:val="restart"/>
            <w:vAlign w:val="center"/>
          </w:tcPr>
          <w:p w14:paraId="639E3424" w14:textId="2A94D51F" w:rsidR="00E02B1E" w:rsidRPr="00C02DAF" w:rsidRDefault="00E02B1E" w:rsidP="00E02B1E">
            <w:pPr>
              <w:pStyle w:val="TableText"/>
              <w:rPr>
                <w:b w:val="0"/>
                <w:bCs/>
              </w:rPr>
            </w:pPr>
            <w:r w:rsidRPr="00C02DAF">
              <w:rPr>
                <w:b w:val="0"/>
                <w:bCs/>
              </w:rPr>
              <w:lastRenderedPageBreak/>
              <w:t>Certificate II in Drilling Operations</w:t>
            </w:r>
          </w:p>
        </w:tc>
        <w:tc>
          <w:tcPr>
            <w:tcW w:w="0" w:type="pct"/>
          </w:tcPr>
          <w:p w14:paraId="47432205" w14:textId="2AC0C0A2" w:rsidR="00E02B1E" w:rsidRDefault="00E02B1E" w:rsidP="00E02B1E">
            <w:pPr>
              <w:pStyle w:val="TableText"/>
              <w:cnfStyle w:val="000000100000" w:firstRow="0" w:lastRow="0" w:firstColumn="0" w:lastColumn="0" w:oddVBand="0" w:evenVBand="0" w:oddHBand="1" w:evenHBand="0" w:firstRowFirstColumn="0" w:firstRowLastColumn="0" w:lastRowFirstColumn="0" w:lastRowLastColumn="0"/>
            </w:pPr>
            <w:r>
              <w:t>Enrolment</w:t>
            </w:r>
          </w:p>
        </w:tc>
        <w:tc>
          <w:tcPr>
            <w:tcW w:w="539" w:type="pct"/>
            <w:vAlign w:val="center"/>
          </w:tcPr>
          <w:p w14:paraId="3A651312" w14:textId="3308CE41" w:rsidR="00E02B1E" w:rsidRDefault="00E02B1E" w:rsidP="009E22D6">
            <w:pPr>
              <w:pStyle w:val="TableText"/>
              <w:jc w:val="right"/>
              <w:cnfStyle w:val="000000100000" w:firstRow="0" w:lastRow="0" w:firstColumn="0" w:lastColumn="0" w:oddVBand="0" w:evenVBand="0" w:oddHBand="1" w:evenHBand="0" w:firstRowFirstColumn="0" w:firstRowLastColumn="0" w:lastRowFirstColumn="0" w:lastRowLastColumn="0"/>
            </w:pPr>
            <w:r>
              <w:t>9</w:t>
            </w:r>
          </w:p>
        </w:tc>
        <w:tc>
          <w:tcPr>
            <w:tcW w:w="539" w:type="pct"/>
            <w:vAlign w:val="center"/>
          </w:tcPr>
          <w:p w14:paraId="751F1D5F" w14:textId="5602450A" w:rsidR="00E02B1E" w:rsidRDefault="00E02B1E" w:rsidP="009E22D6">
            <w:pPr>
              <w:pStyle w:val="TableText"/>
              <w:jc w:val="right"/>
              <w:cnfStyle w:val="000000100000" w:firstRow="0" w:lastRow="0" w:firstColumn="0" w:lastColumn="0" w:oddVBand="0" w:evenVBand="0" w:oddHBand="1" w:evenHBand="0" w:firstRowFirstColumn="0" w:firstRowLastColumn="0" w:lastRowFirstColumn="0" w:lastRowLastColumn="0"/>
            </w:pPr>
            <w:r>
              <w:t>6</w:t>
            </w:r>
          </w:p>
        </w:tc>
        <w:tc>
          <w:tcPr>
            <w:tcW w:w="539" w:type="pct"/>
            <w:vAlign w:val="center"/>
          </w:tcPr>
          <w:p w14:paraId="037BE346" w14:textId="1FBDD409" w:rsidR="00E02B1E" w:rsidRDefault="00E02B1E" w:rsidP="009E22D6">
            <w:pPr>
              <w:pStyle w:val="TableText"/>
              <w:jc w:val="right"/>
              <w:cnfStyle w:val="000000100000" w:firstRow="0" w:lastRow="0" w:firstColumn="0" w:lastColumn="0" w:oddVBand="0" w:evenVBand="0" w:oddHBand="1" w:evenHBand="0" w:firstRowFirstColumn="0" w:firstRowLastColumn="0" w:lastRowFirstColumn="0" w:lastRowLastColumn="0"/>
            </w:pPr>
            <w:r>
              <w:t>7</w:t>
            </w:r>
          </w:p>
        </w:tc>
        <w:tc>
          <w:tcPr>
            <w:tcW w:w="539" w:type="pct"/>
            <w:vAlign w:val="center"/>
          </w:tcPr>
          <w:p w14:paraId="47E28910" w14:textId="13ACD196" w:rsidR="00E02B1E" w:rsidRDefault="00E02B1E" w:rsidP="009E22D6">
            <w:pPr>
              <w:pStyle w:val="TableText"/>
              <w:jc w:val="right"/>
              <w:cnfStyle w:val="000000100000" w:firstRow="0" w:lastRow="0" w:firstColumn="0" w:lastColumn="0" w:oddVBand="0" w:evenVBand="0" w:oddHBand="1" w:evenHBand="0" w:firstRowFirstColumn="0" w:firstRowLastColumn="0" w:lastRowFirstColumn="0" w:lastRowLastColumn="0"/>
            </w:pPr>
            <w:r>
              <w:t>5</w:t>
            </w:r>
          </w:p>
        </w:tc>
        <w:tc>
          <w:tcPr>
            <w:tcW w:w="540" w:type="pct"/>
            <w:vAlign w:val="center"/>
          </w:tcPr>
          <w:p w14:paraId="757CE498" w14:textId="4611A7BC" w:rsidR="00E02B1E" w:rsidRDefault="00E02B1E" w:rsidP="009E22D6">
            <w:pPr>
              <w:pStyle w:val="TableText"/>
              <w:jc w:val="right"/>
              <w:cnfStyle w:val="000000100000" w:firstRow="0" w:lastRow="0" w:firstColumn="0" w:lastColumn="0" w:oddVBand="0" w:evenVBand="0" w:oddHBand="1" w:evenHBand="0" w:firstRowFirstColumn="0" w:firstRowLastColumn="0" w:lastRowFirstColumn="0" w:lastRowLastColumn="0"/>
            </w:pPr>
            <w:r>
              <w:t>12</w:t>
            </w:r>
          </w:p>
        </w:tc>
      </w:tr>
      <w:tr w:rsidR="009042AD" w14:paraId="43F8686F" w14:textId="77777777" w:rsidTr="009E22D6">
        <w:tc>
          <w:tcPr>
            <w:cnfStyle w:val="001000000000" w:firstRow="0" w:lastRow="0" w:firstColumn="1" w:lastColumn="0" w:oddVBand="0" w:evenVBand="0" w:oddHBand="0" w:evenHBand="0" w:firstRowFirstColumn="0" w:firstRowLastColumn="0" w:lastRowFirstColumn="0" w:lastRowLastColumn="0"/>
            <w:tcW w:w="1619" w:type="pct"/>
            <w:vMerge/>
            <w:vAlign w:val="center"/>
          </w:tcPr>
          <w:p w14:paraId="049D4BFB" w14:textId="77777777" w:rsidR="00E02B1E" w:rsidRPr="00287A5B" w:rsidRDefault="00E02B1E" w:rsidP="00E02B1E">
            <w:pPr>
              <w:pStyle w:val="TableText"/>
              <w:rPr>
                <w:b w:val="0"/>
                <w:bCs/>
              </w:rPr>
            </w:pPr>
          </w:p>
        </w:tc>
        <w:tc>
          <w:tcPr>
            <w:tcW w:w="0" w:type="pct"/>
          </w:tcPr>
          <w:p w14:paraId="21787F8D" w14:textId="4634C9EA" w:rsidR="00E02B1E" w:rsidRDefault="00E02B1E" w:rsidP="00E02B1E">
            <w:pPr>
              <w:pStyle w:val="TableText"/>
              <w:cnfStyle w:val="000000000000" w:firstRow="0" w:lastRow="0" w:firstColumn="0" w:lastColumn="0" w:oddVBand="0" w:evenVBand="0" w:oddHBand="0" w:evenHBand="0" w:firstRowFirstColumn="0" w:firstRowLastColumn="0" w:lastRowFirstColumn="0" w:lastRowLastColumn="0"/>
            </w:pPr>
            <w:r>
              <w:t>Completion</w:t>
            </w:r>
          </w:p>
        </w:tc>
        <w:tc>
          <w:tcPr>
            <w:tcW w:w="539" w:type="pct"/>
            <w:vAlign w:val="center"/>
          </w:tcPr>
          <w:p w14:paraId="628D71B0" w14:textId="73DD65A8" w:rsidR="00E02B1E" w:rsidRDefault="00E02B1E" w:rsidP="009E22D6">
            <w:pPr>
              <w:pStyle w:val="TableText"/>
              <w:jc w:val="right"/>
              <w:cnfStyle w:val="000000000000" w:firstRow="0" w:lastRow="0" w:firstColumn="0" w:lastColumn="0" w:oddVBand="0" w:evenVBand="0" w:oddHBand="0" w:evenHBand="0" w:firstRowFirstColumn="0" w:firstRowLastColumn="0" w:lastRowFirstColumn="0" w:lastRowLastColumn="0"/>
            </w:pPr>
            <w:r>
              <w:t>4</w:t>
            </w:r>
          </w:p>
        </w:tc>
        <w:tc>
          <w:tcPr>
            <w:tcW w:w="539" w:type="pct"/>
            <w:vAlign w:val="center"/>
          </w:tcPr>
          <w:p w14:paraId="0CCF31A2" w14:textId="301F708B" w:rsidR="00E02B1E" w:rsidRDefault="00E02B1E" w:rsidP="009E22D6">
            <w:pPr>
              <w:pStyle w:val="TableText"/>
              <w:jc w:val="right"/>
              <w:cnfStyle w:val="000000000000" w:firstRow="0" w:lastRow="0" w:firstColumn="0" w:lastColumn="0" w:oddVBand="0" w:evenVBand="0" w:oddHBand="0" w:evenHBand="0" w:firstRowFirstColumn="0" w:firstRowLastColumn="0" w:lastRowFirstColumn="0" w:lastRowLastColumn="0"/>
            </w:pPr>
            <w:r>
              <w:t>0</w:t>
            </w:r>
          </w:p>
        </w:tc>
        <w:tc>
          <w:tcPr>
            <w:tcW w:w="539" w:type="pct"/>
            <w:vAlign w:val="center"/>
          </w:tcPr>
          <w:p w14:paraId="742ADA5B" w14:textId="507C18B0" w:rsidR="00E02B1E" w:rsidRDefault="00E02B1E" w:rsidP="009E22D6">
            <w:pPr>
              <w:pStyle w:val="TableText"/>
              <w:jc w:val="right"/>
              <w:cnfStyle w:val="000000000000" w:firstRow="0" w:lastRow="0" w:firstColumn="0" w:lastColumn="0" w:oddVBand="0" w:evenVBand="0" w:oddHBand="0" w:evenHBand="0" w:firstRowFirstColumn="0" w:firstRowLastColumn="0" w:lastRowFirstColumn="0" w:lastRowLastColumn="0"/>
            </w:pPr>
            <w:r>
              <w:t>5</w:t>
            </w:r>
          </w:p>
        </w:tc>
        <w:tc>
          <w:tcPr>
            <w:tcW w:w="539" w:type="pct"/>
            <w:vAlign w:val="center"/>
          </w:tcPr>
          <w:p w14:paraId="1A2BEAEB" w14:textId="67F1151F" w:rsidR="00E02B1E" w:rsidRDefault="00E02B1E" w:rsidP="009E22D6">
            <w:pPr>
              <w:pStyle w:val="TableText"/>
              <w:jc w:val="right"/>
              <w:cnfStyle w:val="000000000000" w:firstRow="0" w:lastRow="0" w:firstColumn="0" w:lastColumn="0" w:oddVBand="0" w:evenVBand="0" w:oddHBand="0" w:evenHBand="0" w:firstRowFirstColumn="0" w:firstRowLastColumn="0" w:lastRowFirstColumn="0" w:lastRowLastColumn="0"/>
            </w:pPr>
            <w:r>
              <w:t>0</w:t>
            </w:r>
          </w:p>
        </w:tc>
        <w:tc>
          <w:tcPr>
            <w:tcW w:w="540" w:type="pct"/>
            <w:vAlign w:val="center"/>
          </w:tcPr>
          <w:p w14:paraId="26C213E0" w14:textId="333E31D2" w:rsidR="00E02B1E" w:rsidRDefault="00E02B1E" w:rsidP="009E22D6">
            <w:pPr>
              <w:pStyle w:val="TableText"/>
              <w:jc w:val="right"/>
              <w:cnfStyle w:val="000000000000" w:firstRow="0" w:lastRow="0" w:firstColumn="0" w:lastColumn="0" w:oddVBand="0" w:evenVBand="0" w:oddHBand="0" w:evenHBand="0" w:firstRowFirstColumn="0" w:firstRowLastColumn="0" w:lastRowFirstColumn="0" w:lastRowLastColumn="0"/>
            </w:pPr>
            <w:r>
              <w:t>3</w:t>
            </w:r>
          </w:p>
        </w:tc>
      </w:tr>
      <w:tr w:rsidR="009042AD" w14:paraId="512B6AE9" w14:textId="77777777" w:rsidTr="009E2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9" w:type="pct"/>
            <w:vMerge w:val="restart"/>
            <w:vAlign w:val="center"/>
          </w:tcPr>
          <w:p w14:paraId="5DB4D126" w14:textId="6C439235" w:rsidR="00E02B1E" w:rsidRPr="00287A5B" w:rsidRDefault="00E02B1E" w:rsidP="00E02B1E">
            <w:pPr>
              <w:pStyle w:val="TableText"/>
              <w:rPr>
                <w:b w:val="0"/>
                <w:bCs/>
              </w:rPr>
            </w:pPr>
            <w:r w:rsidRPr="00287A5B">
              <w:rPr>
                <w:b w:val="0"/>
                <w:bCs/>
              </w:rPr>
              <w:t>Certificate III in Surface Extraction Operations</w:t>
            </w:r>
          </w:p>
        </w:tc>
        <w:tc>
          <w:tcPr>
            <w:tcW w:w="0" w:type="pct"/>
          </w:tcPr>
          <w:p w14:paraId="7CC87C89" w14:textId="5B697683" w:rsidR="00E02B1E" w:rsidRDefault="00E02B1E" w:rsidP="00E02B1E">
            <w:pPr>
              <w:pStyle w:val="TableText"/>
              <w:cnfStyle w:val="000000100000" w:firstRow="0" w:lastRow="0" w:firstColumn="0" w:lastColumn="0" w:oddVBand="0" w:evenVBand="0" w:oddHBand="1" w:evenHBand="0" w:firstRowFirstColumn="0" w:firstRowLastColumn="0" w:lastRowFirstColumn="0" w:lastRowLastColumn="0"/>
            </w:pPr>
            <w:r>
              <w:t>Enrolment</w:t>
            </w:r>
          </w:p>
        </w:tc>
        <w:tc>
          <w:tcPr>
            <w:tcW w:w="539" w:type="pct"/>
            <w:vAlign w:val="center"/>
          </w:tcPr>
          <w:p w14:paraId="67E50BC1" w14:textId="0F91DA44" w:rsidR="00E02B1E" w:rsidRDefault="00E02B1E" w:rsidP="009E22D6">
            <w:pPr>
              <w:pStyle w:val="TableText"/>
              <w:jc w:val="right"/>
              <w:cnfStyle w:val="000000100000" w:firstRow="0" w:lastRow="0" w:firstColumn="0" w:lastColumn="0" w:oddVBand="0" w:evenVBand="0" w:oddHBand="1" w:evenHBand="0" w:firstRowFirstColumn="0" w:firstRowLastColumn="0" w:lastRowFirstColumn="0" w:lastRowLastColumn="0"/>
            </w:pPr>
            <w:r>
              <w:t>181</w:t>
            </w:r>
          </w:p>
        </w:tc>
        <w:tc>
          <w:tcPr>
            <w:tcW w:w="539" w:type="pct"/>
            <w:vAlign w:val="center"/>
          </w:tcPr>
          <w:p w14:paraId="08062422" w14:textId="412D4B27" w:rsidR="00E02B1E" w:rsidRDefault="00E02B1E" w:rsidP="009E22D6">
            <w:pPr>
              <w:pStyle w:val="TableText"/>
              <w:jc w:val="right"/>
              <w:cnfStyle w:val="000000100000" w:firstRow="0" w:lastRow="0" w:firstColumn="0" w:lastColumn="0" w:oddVBand="0" w:evenVBand="0" w:oddHBand="1" w:evenHBand="0" w:firstRowFirstColumn="0" w:firstRowLastColumn="0" w:lastRowFirstColumn="0" w:lastRowLastColumn="0"/>
            </w:pPr>
            <w:r>
              <w:t>190</w:t>
            </w:r>
          </w:p>
        </w:tc>
        <w:tc>
          <w:tcPr>
            <w:tcW w:w="539" w:type="pct"/>
            <w:vAlign w:val="center"/>
          </w:tcPr>
          <w:p w14:paraId="63BBBD78" w14:textId="43CBF35A" w:rsidR="00E02B1E" w:rsidRDefault="00E02B1E" w:rsidP="009E22D6">
            <w:pPr>
              <w:pStyle w:val="TableText"/>
              <w:jc w:val="right"/>
              <w:cnfStyle w:val="000000100000" w:firstRow="0" w:lastRow="0" w:firstColumn="0" w:lastColumn="0" w:oddVBand="0" w:evenVBand="0" w:oddHBand="1" w:evenHBand="0" w:firstRowFirstColumn="0" w:firstRowLastColumn="0" w:lastRowFirstColumn="0" w:lastRowLastColumn="0"/>
            </w:pPr>
            <w:r>
              <w:t>132</w:t>
            </w:r>
          </w:p>
        </w:tc>
        <w:tc>
          <w:tcPr>
            <w:tcW w:w="539" w:type="pct"/>
            <w:vAlign w:val="center"/>
          </w:tcPr>
          <w:p w14:paraId="2B313D18" w14:textId="26C437DB" w:rsidR="00E02B1E" w:rsidRDefault="00E02B1E" w:rsidP="009E22D6">
            <w:pPr>
              <w:pStyle w:val="TableText"/>
              <w:jc w:val="right"/>
              <w:cnfStyle w:val="000000100000" w:firstRow="0" w:lastRow="0" w:firstColumn="0" w:lastColumn="0" w:oddVBand="0" w:evenVBand="0" w:oddHBand="1" w:evenHBand="0" w:firstRowFirstColumn="0" w:firstRowLastColumn="0" w:lastRowFirstColumn="0" w:lastRowLastColumn="0"/>
            </w:pPr>
            <w:r>
              <w:t>124</w:t>
            </w:r>
          </w:p>
        </w:tc>
        <w:tc>
          <w:tcPr>
            <w:tcW w:w="540" w:type="pct"/>
            <w:vAlign w:val="center"/>
          </w:tcPr>
          <w:p w14:paraId="325E9CE4" w14:textId="431F893F" w:rsidR="00E02B1E" w:rsidRDefault="00E02B1E" w:rsidP="009E22D6">
            <w:pPr>
              <w:pStyle w:val="TableText"/>
              <w:jc w:val="right"/>
              <w:cnfStyle w:val="000000100000" w:firstRow="0" w:lastRow="0" w:firstColumn="0" w:lastColumn="0" w:oddVBand="0" w:evenVBand="0" w:oddHBand="1" w:evenHBand="0" w:firstRowFirstColumn="0" w:firstRowLastColumn="0" w:lastRowFirstColumn="0" w:lastRowLastColumn="0"/>
            </w:pPr>
            <w:r>
              <w:t>120</w:t>
            </w:r>
          </w:p>
        </w:tc>
      </w:tr>
      <w:tr w:rsidR="009042AD" w14:paraId="6DE347E7" w14:textId="77777777" w:rsidTr="009E22D6">
        <w:tc>
          <w:tcPr>
            <w:cnfStyle w:val="001000000000" w:firstRow="0" w:lastRow="0" w:firstColumn="1" w:lastColumn="0" w:oddVBand="0" w:evenVBand="0" w:oddHBand="0" w:evenHBand="0" w:firstRowFirstColumn="0" w:firstRowLastColumn="0" w:lastRowFirstColumn="0" w:lastRowLastColumn="0"/>
            <w:tcW w:w="1619" w:type="pct"/>
            <w:vMerge/>
            <w:vAlign w:val="center"/>
          </w:tcPr>
          <w:p w14:paraId="09B1442A" w14:textId="77777777" w:rsidR="00E02B1E" w:rsidRPr="00287A5B" w:rsidRDefault="00E02B1E" w:rsidP="00E02B1E">
            <w:pPr>
              <w:pStyle w:val="TableText"/>
              <w:rPr>
                <w:b w:val="0"/>
                <w:bCs/>
              </w:rPr>
            </w:pPr>
          </w:p>
        </w:tc>
        <w:tc>
          <w:tcPr>
            <w:tcW w:w="0" w:type="pct"/>
          </w:tcPr>
          <w:p w14:paraId="7090B8BA" w14:textId="13F93D02" w:rsidR="00E02B1E" w:rsidRDefault="00E02B1E" w:rsidP="00E02B1E">
            <w:pPr>
              <w:pStyle w:val="TableText"/>
              <w:cnfStyle w:val="000000000000" w:firstRow="0" w:lastRow="0" w:firstColumn="0" w:lastColumn="0" w:oddVBand="0" w:evenVBand="0" w:oddHBand="0" w:evenHBand="0" w:firstRowFirstColumn="0" w:firstRowLastColumn="0" w:lastRowFirstColumn="0" w:lastRowLastColumn="0"/>
            </w:pPr>
            <w:r>
              <w:t>Completion</w:t>
            </w:r>
          </w:p>
        </w:tc>
        <w:tc>
          <w:tcPr>
            <w:tcW w:w="539" w:type="pct"/>
            <w:vAlign w:val="center"/>
          </w:tcPr>
          <w:p w14:paraId="12591F39" w14:textId="696F1C78" w:rsidR="00E02B1E" w:rsidRDefault="00E02B1E" w:rsidP="009E22D6">
            <w:pPr>
              <w:pStyle w:val="TableText"/>
              <w:jc w:val="right"/>
              <w:cnfStyle w:val="000000000000" w:firstRow="0" w:lastRow="0" w:firstColumn="0" w:lastColumn="0" w:oddVBand="0" w:evenVBand="0" w:oddHBand="0" w:evenHBand="0" w:firstRowFirstColumn="0" w:firstRowLastColumn="0" w:lastRowFirstColumn="0" w:lastRowLastColumn="0"/>
            </w:pPr>
            <w:r>
              <w:t>27</w:t>
            </w:r>
          </w:p>
        </w:tc>
        <w:tc>
          <w:tcPr>
            <w:tcW w:w="539" w:type="pct"/>
            <w:vAlign w:val="center"/>
          </w:tcPr>
          <w:p w14:paraId="4684B5AE" w14:textId="01A8FC07" w:rsidR="00E02B1E" w:rsidRDefault="00E02B1E" w:rsidP="009E22D6">
            <w:pPr>
              <w:pStyle w:val="TableText"/>
              <w:jc w:val="right"/>
              <w:cnfStyle w:val="000000000000" w:firstRow="0" w:lastRow="0" w:firstColumn="0" w:lastColumn="0" w:oddVBand="0" w:evenVBand="0" w:oddHBand="0" w:evenHBand="0" w:firstRowFirstColumn="0" w:firstRowLastColumn="0" w:lastRowFirstColumn="0" w:lastRowLastColumn="0"/>
            </w:pPr>
            <w:r>
              <w:t>66</w:t>
            </w:r>
          </w:p>
        </w:tc>
        <w:tc>
          <w:tcPr>
            <w:tcW w:w="539" w:type="pct"/>
            <w:vAlign w:val="center"/>
          </w:tcPr>
          <w:p w14:paraId="7A571B03" w14:textId="02438E41" w:rsidR="00E02B1E" w:rsidRDefault="00E02B1E" w:rsidP="009E22D6">
            <w:pPr>
              <w:pStyle w:val="TableText"/>
              <w:jc w:val="right"/>
              <w:cnfStyle w:val="000000000000" w:firstRow="0" w:lastRow="0" w:firstColumn="0" w:lastColumn="0" w:oddVBand="0" w:evenVBand="0" w:oddHBand="0" w:evenHBand="0" w:firstRowFirstColumn="0" w:firstRowLastColumn="0" w:lastRowFirstColumn="0" w:lastRowLastColumn="0"/>
            </w:pPr>
            <w:r>
              <w:t>58</w:t>
            </w:r>
          </w:p>
        </w:tc>
        <w:tc>
          <w:tcPr>
            <w:tcW w:w="539" w:type="pct"/>
            <w:vAlign w:val="center"/>
          </w:tcPr>
          <w:p w14:paraId="258EC795" w14:textId="509F8E1F" w:rsidR="00E02B1E" w:rsidRDefault="00E02B1E" w:rsidP="009E22D6">
            <w:pPr>
              <w:pStyle w:val="TableText"/>
              <w:jc w:val="right"/>
              <w:cnfStyle w:val="000000000000" w:firstRow="0" w:lastRow="0" w:firstColumn="0" w:lastColumn="0" w:oddVBand="0" w:evenVBand="0" w:oddHBand="0" w:evenHBand="0" w:firstRowFirstColumn="0" w:firstRowLastColumn="0" w:lastRowFirstColumn="0" w:lastRowLastColumn="0"/>
            </w:pPr>
            <w:r>
              <w:t>30</w:t>
            </w:r>
          </w:p>
        </w:tc>
        <w:tc>
          <w:tcPr>
            <w:tcW w:w="540" w:type="pct"/>
            <w:vAlign w:val="center"/>
          </w:tcPr>
          <w:p w14:paraId="7B0B9D9F" w14:textId="74F41AEE" w:rsidR="00E02B1E" w:rsidRDefault="00E02B1E" w:rsidP="009E22D6">
            <w:pPr>
              <w:pStyle w:val="TableText"/>
              <w:jc w:val="right"/>
              <w:cnfStyle w:val="000000000000" w:firstRow="0" w:lastRow="0" w:firstColumn="0" w:lastColumn="0" w:oddVBand="0" w:evenVBand="0" w:oddHBand="0" w:evenHBand="0" w:firstRowFirstColumn="0" w:firstRowLastColumn="0" w:lastRowFirstColumn="0" w:lastRowLastColumn="0"/>
            </w:pPr>
            <w:r>
              <w:t>16</w:t>
            </w:r>
          </w:p>
        </w:tc>
      </w:tr>
      <w:tr w:rsidR="009042AD" w14:paraId="31DB49F2" w14:textId="77777777" w:rsidTr="009E2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9" w:type="pct"/>
            <w:vMerge w:val="restart"/>
            <w:vAlign w:val="center"/>
          </w:tcPr>
          <w:p w14:paraId="434A58DC" w14:textId="521AFFFD" w:rsidR="00E02B1E" w:rsidRPr="00287A5B" w:rsidRDefault="00E02B1E" w:rsidP="00E02B1E">
            <w:pPr>
              <w:pStyle w:val="TableText"/>
              <w:rPr>
                <w:b w:val="0"/>
                <w:bCs/>
              </w:rPr>
            </w:pPr>
            <w:r w:rsidRPr="00287A5B">
              <w:rPr>
                <w:b w:val="0"/>
                <w:bCs/>
              </w:rPr>
              <w:t>Certificate III in Underground Metalliferous Mining</w:t>
            </w:r>
          </w:p>
        </w:tc>
        <w:tc>
          <w:tcPr>
            <w:tcW w:w="0" w:type="pct"/>
          </w:tcPr>
          <w:p w14:paraId="163FD826" w14:textId="2C57E18B" w:rsidR="00E02B1E" w:rsidRDefault="00E02B1E" w:rsidP="00E02B1E">
            <w:pPr>
              <w:pStyle w:val="TableText"/>
              <w:cnfStyle w:val="000000100000" w:firstRow="0" w:lastRow="0" w:firstColumn="0" w:lastColumn="0" w:oddVBand="0" w:evenVBand="0" w:oddHBand="1" w:evenHBand="0" w:firstRowFirstColumn="0" w:firstRowLastColumn="0" w:lastRowFirstColumn="0" w:lastRowLastColumn="0"/>
            </w:pPr>
            <w:r>
              <w:t>Enrolment</w:t>
            </w:r>
          </w:p>
        </w:tc>
        <w:tc>
          <w:tcPr>
            <w:tcW w:w="539" w:type="pct"/>
            <w:vAlign w:val="center"/>
          </w:tcPr>
          <w:p w14:paraId="6F292ABE" w14:textId="66A42984" w:rsidR="00E02B1E" w:rsidRDefault="00E02B1E" w:rsidP="009E22D6">
            <w:pPr>
              <w:pStyle w:val="TableText"/>
              <w:jc w:val="right"/>
              <w:cnfStyle w:val="000000100000" w:firstRow="0" w:lastRow="0" w:firstColumn="0" w:lastColumn="0" w:oddVBand="0" w:evenVBand="0" w:oddHBand="1" w:evenHBand="0" w:firstRowFirstColumn="0" w:firstRowLastColumn="0" w:lastRowFirstColumn="0" w:lastRowLastColumn="0"/>
            </w:pPr>
            <w:r>
              <w:t>62</w:t>
            </w:r>
          </w:p>
        </w:tc>
        <w:tc>
          <w:tcPr>
            <w:tcW w:w="539" w:type="pct"/>
            <w:vAlign w:val="center"/>
          </w:tcPr>
          <w:p w14:paraId="203FD0E6" w14:textId="4AD93863" w:rsidR="00E02B1E" w:rsidRDefault="00E02B1E" w:rsidP="009E22D6">
            <w:pPr>
              <w:pStyle w:val="TableText"/>
              <w:jc w:val="right"/>
              <w:cnfStyle w:val="000000100000" w:firstRow="0" w:lastRow="0" w:firstColumn="0" w:lastColumn="0" w:oddVBand="0" w:evenVBand="0" w:oddHBand="1" w:evenHBand="0" w:firstRowFirstColumn="0" w:firstRowLastColumn="0" w:lastRowFirstColumn="0" w:lastRowLastColumn="0"/>
            </w:pPr>
            <w:r>
              <w:t>31</w:t>
            </w:r>
          </w:p>
        </w:tc>
        <w:tc>
          <w:tcPr>
            <w:tcW w:w="539" w:type="pct"/>
            <w:vAlign w:val="center"/>
          </w:tcPr>
          <w:p w14:paraId="6E7FFE83" w14:textId="74B4FCD2" w:rsidR="00E02B1E" w:rsidRDefault="00E02B1E" w:rsidP="009E22D6">
            <w:pPr>
              <w:pStyle w:val="TableText"/>
              <w:jc w:val="right"/>
              <w:cnfStyle w:val="000000100000" w:firstRow="0" w:lastRow="0" w:firstColumn="0" w:lastColumn="0" w:oddVBand="0" w:evenVBand="0" w:oddHBand="1" w:evenHBand="0" w:firstRowFirstColumn="0" w:firstRowLastColumn="0" w:lastRowFirstColumn="0" w:lastRowLastColumn="0"/>
            </w:pPr>
            <w:r>
              <w:t>0</w:t>
            </w:r>
          </w:p>
        </w:tc>
        <w:tc>
          <w:tcPr>
            <w:tcW w:w="539" w:type="pct"/>
            <w:vAlign w:val="center"/>
          </w:tcPr>
          <w:p w14:paraId="0D118643" w14:textId="141C12A2" w:rsidR="00E02B1E" w:rsidRDefault="00E02B1E" w:rsidP="009E22D6">
            <w:pPr>
              <w:pStyle w:val="TableText"/>
              <w:jc w:val="right"/>
              <w:cnfStyle w:val="000000100000" w:firstRow="0" w:lastRow="0" w:firstColumn="0" w:lastColumn="0" w:oddVBand="0" w:evenVBand="0" w:oddHBand="1" w:evenHBand="0" w:firstRowFirstColumn="0" w:firstRowLastColumn="0" w:lastRowFirstColumn="0" w:lastRowLastColumn="0"/>
            </w:pPr>
            <w:r>
              <w:t>0</w:t>
            </w:r>
          </w:p>
        </w:tc>
        <w:tc>
          <w:tcPr>
            <w:tcW w:w="540" w:type="pct"/>
            <w:vAlign w:val="center"/>
          </w:tcPr>
          <w:p w14:paraId="2A53F6AF" w14:textId="21A068E9" w:rsidR="00E02B1E" w:rsidRDefault="00E02B1E" w:rsidP="009E22D6">
            <w:pPr>
              <w:pStyle w:val="TableText"/>
              <w:jc w:val="right"/>
              <w:cnfStyle w:val="000000100000" w:firstRow="0" w:lastRow="0" w:firstColumn="0" w:lastColumn="0" w:oddVBand="0" w:evenVBand="0" w:oddHBand="1" w:evenHBand="0" w:firstRowFirstColumn="0" w:firstRowLastColumn="0" w:lastRowFirstColumn="0" w:lastRowLastColumn="0"/>
            </w:pPr>
            <w:r>
              <w:t>33</w:t>
            </w:r>
          </w:p>
        </w:tc>
      </w:tr>
      <w:tr w:rsidR="009042AD" w14:paraId="32E2E59F" w14:textId="77777777" w:rsidTr="009E22D6">
        <w:tc>
          <w:tcPr>
            <w:cnfStyle w:val="001000000000" w:firstRow="0" w:lastRow="0" w:firstColumn="1" w:lastColumn="0" w:oddVBand="0" w:evenVBand="0" w:oddHBand="0" w:evenHBand="0" w:firstRowFirstColumn="0" w:firstRowLastColumn="0" w:lastRowFirstColumn="0" w:lastRowLastColumn="0"/>
            <w:tcW w:w="1619" w:type="pct"/>
            <w:vMerge/>
            <w:vAlign w:val="center"/>
          </w:tcPr>
          <w:p w14:paraId="44B098A3" w14:textId="77777777" w:rsidR="00E02B1E" w:rsidRPr="00287A5B" w:rsidRDefault="00E02B1E" w:rsidP="00E02B1E">
            <w:pPr>
              <w:pStyle w:val="TableText"/>
              <w:rPr>
                <w:b w:val="0"/>
                <w:bCs/>
              </w:rPr>
            </w:pPr>
          </w:p>
        </w:tc>
        <w:tc>
          <w:tcPr>
            <w:tcW w:w="0" w:type="pct"/>
          </w:tcPr>
          <w:p w14:paraId="45DC893E" w14:textId="43C6A499" w:rsidR="00E02B1E" w:rsidRDefault="00E02B1E" w:rsidP="00E02B1E">
            <w:pPr>
              <w:pStyle w:val="TableText"/>
              <w:cnfStyle w:val="000000000000" w:firstRow="0" w:lastRow="0" w:firstColumn="0" w:lastColumn="0" w:oddVBand="0" w:evenVBand="0" w:oddHBand="0" w:evenHBand="0" w:firstRowFirstColumn="0" w:firstRowLastColumn="0" w:lastRowFirstColumn="0" w:lastRowLastColumn="0"/>
            </w:pPr>
            <w:r>
              <w:t>Completion</w:t>
            </w:r>
          </w:p>
        </w:tc>
        <w:tc>
          <w:tcPr>
            <w:tcW w:w="539" w:type="pct"/>
            <w:vAlign w:val="center"/>
          </w:tcPr>
          <w:p w14:paraId="1FB8DEC1" w14:textId="42D9ABCF" w:rsidR="00E02B1E" w:rsidRDefault="00E02B1E" w:rsidP="009E22D6">
            <w:pPr>
              <w:pStyle w:val="TableText"/>
              <w:jc w:val="right"/>
              <w:cnfStyle w:val="000000000000" w:firstRow="0" w:lastRow="0" w:firstColumn="0" w:lastColumn="0" w:oddVBand="0" w:evenVBand="0" w:oddHBand="0" w:evenHBand="0" w:firstRowFirstColumn="0" w:firstRowLastColumn="0" w:lastRowFirstColumn="0" w:lastRowLastColumn="0"/>
            </w:pPr>
            <w:r>
              <w:t>33</w:t>
            </w:r>
          </w:p>
        </w:tc>
        <w:tc>
          <w:tcPr>
            <w:tcW w:w="539" w:type="pct"/>
            <w:vAlign w:val="center"/>
          </w:tcPr>
          <w:p w14:paraId="1E254693" w14:textId="0A550F60" w:rsidR="00E02B1E" w:rsidRDefault="00E02B1E" w:rsidP="009E22D6">
            <w:pPr>
              <w:pStyle w:val="TableText"/>
              <w:jc w:val="right"/>
              <w:cnfStyle w:val="000000000000" w:firstRow="0" w:lastRow="0" w:firstColumn="0" w:lastColumn="0" w:oddVBand="0" w:evenVBand="0" w:oddHBand="0" w:evenHBand="0" w:firstRowFirstColumn="0" w:firstRowLastColumn="0" w:lastRowFirstColumn="0" w:lastRowLastColumn="0"/>
            </w:pPr>
            <w:r>
              <w:t>24</w:t>
            </w:r>
          </w:p>
        </w:tc>
        <w:tc>
          <w:tcPr>
            <w:tcW w:w="539" w:type="pct"/>
            <w:vAlign w:val="center"/>
          </w:tcPr>
          <w:p w14:paraId="1088AD27" w14:textId="5E5400BF" w:rsidR="00E02B1E" w:rsidRDefault="00E02B1E" w:rsidP="009E22D6">
            <w:pPr>
              <w:pStyle w:val="TableText"/>
              <w:jc w:val="right"/>
              <w:cnfStyle w:val="000000000000" w:firstRow="0" w:lastRow="0" w:firstColumn="0" w:lastColumn="0" w:oddVBand="0" w:evenVBand="0" w:oddHBand="0" w:evenHBand="0" w:firstRowFirstColumn="0" w:firstRowLastColumn="0" w:lastRowFirstColumn="0" w:lastRowLastColumn="0"/>
            </w:pPr>
            <w:r>
              <w:t>0</w:t>
            </w:r>
          </w:p>
        </w:tc>
        <w:tc>
          <w:tcPr>
            <w:tcW w:w="539" w:type="pct"/>
            <w:vAlign w:val="center"/>
          </w:tcPr>
          <w:p w14:paraId="01326B53" w14:textId="14037C63" w:rsidR="00E02B1E" w:rsidRDefault="00E02B1E" w:rsidP="009E22D6">
            <w:pPr>
              <w:pStyle w:val="TableText"/>
              <w:jc w:val="right"/>
              <w:cnfStyle w:val="000000000000" w:firstRow="0" w:lastRow="0" w:firstColumn="0" w:lastColumn="0" w:oddVBand="0" w:evenVBand="0" w:oddHBand="0" w:evenHBand="0" w:firstRowFirstColumn="0" w:firstRowLastColumn="0" w:lastRowFirstColumn="0" w:lastRowLastColumn="0"/>
            </w:pPr>
            <w:r>
              <w:t>0</w:t>
            </w:r>
          </w:p>
        </w:tc>
        <w:tc>
          <w:tcPr>
            <w:tcW w:w="540" w:type="pct"/>
            <w:vAlign w:val="center"/>
          </w:tcPr>
          <w:p w14:paraId="3889FC2C" w14:textId="79B9575A" w:rsidR="00E02B1E" w:rsidRDefault="00E02B1E" w:rsidP="009E22D6">
            <w:pPr>
              <w:pStyle w:val="TableText"/>
              <w:jc w:val="right"/>
              <w:cnfStyle w:val="000000000000" w:firstRow="0" w:lastRow="0" w:firstColumn="0" w:lastColumn="0" w:oddVBand="0" w:evenVBand="0" w:oddHBand="0" w:evenHBand="0" w:firstRowFirstColumn="0" w:firstRowLastColumn="0" w:lastRowFirstColumn="0" w:lastRowLastColumn="0"/>
            </w:pPr>
            <w:r>
              <w:t>8</w:t>
            </w:r>
          </w:p>
        </w:tc>
      </w:tr>
      <w:tr w:rsidR="009042AD" w14:paraId="2EA89E5E" w14:textId="77777777" w:rsidTr="009E2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9" w:type="pct"/>
            <w:vMerge w:val="restart"/>
            <w:vAlign w:val="center"/>
          </w:tcPr>
          <w:p w14:paraId="2162D961" w14:textId="5C3B7E9D" w:rsidR="00E02B1E" w:rsidRPr="00287A5B" w:rsidRDefault="00E02B1E" w:rsidP="00E02B1E">
            <w:pPr>
              <w:pStyle w:val="TableText"/>
              <w:rPr>
                <w:b w:val="0"/>
                <w:bCs/>
              </w:rPr>
            </w:pPr>
            <w:r>
              <w:rPr>
                <w:b w:val="0"/>
                <w:bCs/>
              </w:rPr>
              <w:t>Certificate III in Resource Processing</w:t>
            </w:r>
          </w:p>
        </w:tc>
        <w:tc>
          <w:tcPr>
            <w:tcW w:w="0" w:type="pct"/>
          </w:tcPr>
          <w:p w14:paraId="683A26B1" w14:textId="34F09FFF" w:rsidR="00E02B1E" w:rsidRDefault="00E02B1E" w:rsidP="00E02B1E">
            <w:pPr>
              <w:pStyle w:val="TableText"/>
              <w:cnfStyle w:val="000000100000" w:firstRow="0" w:lastRow="0" w:firstColumn="0" w:lastColumn="0" w:oddVBand="0" w:evenVBand="0" w:oddHBand="1" w:evenHBand="0" w:firstRowFirstColumn="0" w:firstRowLastColumn="0" w:lastRowFirstColumn="0" w:lastRowLastColumn="0"/>
            </w:pPr>
            <w:r>
              <w:t>Enrolment</w:t>
            </w:r>
          </w:p>
        </w:tc>
        <w:tc>
          <w:tcPr>
            <w:tcW w:w="539" w:type="pct"/>
            <w:vAlign w:val="center"/>
          </w:tcPr>
          <w:p w14:paraId="19EB46F2" w14:textId="4D8F4F88" w:rsidR="00E02B1E" w:rsidRDefault="00E02B1E" w:rsidP="009E22D6">
            <w:pPr>
              <w:pStyle w:val="TableText"/>
              <w:jc w:val="right"/>
              <w:cnfStyle w:val="000000100000" w:firstRow="0" w:lastRow="0" w:firstColumn="0" w:lastColumn="0" w:oddVBand="0" w:evenVBand="0" w:oddHBand="1" w:evenHBand="0" w:firstRowFirstColumn="0" w:firstRowLastColumn="0" w:lastRowFirstColumn="0" w:lastRowLastColumn="0"/>
            </w:pPr>
            <w:r>
              <w:rPr>
                <w:rFonts w:cs="Arial"/>
              </w:rPr>
              <w:t>35</w:t>
            </w:r>
          </w:p>
        </w:tc>
        <w:tc>
          <w:tcPr>
            <w:tcW w:w="539" w:type="pct"/>
            <w:vAlign w:val="center"/>
          </w:tcPr>
          <w:p w14:paraId="720D61F1" w14:textId="0DEB0121" w:rsidR="00E02B1E" w:rsidRDefault="00E02B1E" w:rsidP="009E22D6">
            <w:pPr>
              <w:pStyle w:val="TableText"/>
              <w:jc w:val="right"/>
              <w:cnfStyle w:val="000000100000" w:firstRow="0" w:lastRow="0" w:firstColumn="0" w:lastColumn="0" w:oddVBand="0" w:evenVBand="0" w:oddHBand="1" w:evenHBand="0" w:firstRowFirstColumn="0" w:firstRowLastColumn="0" w:lastRowFirstColumn="0" w:lastRowLastColumn="0"/>
            </w:pPr>
            <w:r>
              <w:rPr>
                <w:rFonts w:cs="Arial"/>
              </w:rPr>
              <w:t>31</w:t>
            </w:r>
          </w:p>
        </w:tc>
        <w:tc>
          <w:tcPr>
            <w:tcW w:w="539" w:type="pct"/>
            <w:vAlign w:val="center"/>
          </w:tcPr>
          <w:p w14:paraId="067344F4" w14:textId="0B9717F9" w:rsidR="00E02B1E" w:rsidRDefault="00E02B1E" w:rsidP="009E22D6">
            <w:pPr>
              <w:pStyle w:val="TableText"/>
              <w:jc w:val="right"/>
              <w:cnfStyle w:val="000000100000" w:firstRow="0" w:lastRow="0" w:firstColumn="0" w:lastColumn="0" w:oddVBand="0" w:evenVBand="0" w:oddHBand="1" w:evenHBand="0" w:firstRowFirstColumn="0" w:firstRowLastColumn="0" w:lastRowFirstColumn="0" w:lastRowLastColumn="0"/>
            </w:pPr>
            <w:r>
              <w:rPr>
                <w:rFonts w:cs="Arial"/>
              </w:rPr>
              <w:t>31</w:t>
            </w:r>
          </w:p>
        </w:tc>
        <w:tc>
          <w:tcPr>
            <w:tcW w:w="539" w:type="pct"/>
            <w:vAlign w:val="center"/>
          </w:tcPr>
          <w:p w14:paraId="0F28F56C" w14:textId="3E7F5BC9" w:rsidR="00E02B1E" w:rsidRDefault="00E02B1E" w:rsidP="009E22D6">
            <w:pPr>
              <w:pStyle w:val="TableText"/>
              <w:jc w:val="right"/>
              <w:cnfStyle w:val="000000100000" w:firstRow="0" w:lastRow="0" w:firstColumn="0" w:lastColumn="0" w:oddVBand="0" w:evenVBand="0" w:oddHBand="1" w:evenHBand="0" w:firstRowFirstColumn="0" w:firstRowLastColumn="0" w:lastRowFirstColumn="0" w:lastRowLastColumn="0"/>
            </w:pPr>
            <w:r>
              <w:rPr>
                <w:rFonts w:cs="Arial"/>
              </w:rPr>
              <w:t>41</w:t>
            </w:r>
          </w:p>
        </w:tc>
        <w:tc>
          <w:tcPr>
            <w:tcW w:w="540" w:type="pct"/>
            <w:vAlign w:val="center"/>
          </w:tcPr>
          <w:p w14:paraId="315BED3A" w14:textId="36F10DEE" w:rsidR="00E02B1E" w:rsidRDefault="00E02B1E" w:rsidP="009E22D6">
            <w:pPr>
              <w:pStyle w:val="TableText"/>
              <w:jc w:val="right"/>
              <w:cnfStyle w:val="000000100000" w:firstRow="0" w:lastRow="0" w:firstColumn="0" w:lastColumn="0" w:oddVBand="0" w:evenVBand="0" w:oddHBand="1" w:evenHBand="0" w:firstRowFirstColumn="0" w:firstRowLastColumn="0" w:lastRowFirstColumn="0" w:lastRowLastColumn="0"/>
            </w:pPr>
            <w:r>
              <w:rPr>
                <w:rFonts w:cs="Arial"/>
              </w:rPr>
              <w:t>59</w:t>
            </w:r>
          </w:p>
        </w:tc>
      </w:tr>
      <w:tr w:rsidR="009042AD" w14:paraId="225B8771" w14:textId="77777777" w:rsidTr="009E22D6">
        <w:tc>
          <w:tcPr>
            <w:cnfStyle w:val="001000000000" w:firstRow="0" w:lastRow="0" w:firstColumn="1" w:lastColumn="0" w:oddVBand="0" w:evenVBand="0" w:oddHBand="0" w:evenHBand="0" w:firstRowFirstColumn="0" w:firstRowLastColumn="0" w:lastRowFirstColumn="0" w:lastRowLastColumn="0"/>
            <w:tcW w:w="1619" w:type="pct"/>
            <w:vMerge/>
            <w:vAlign w:val="center"/>
          </w:tcPr>
          <w:p w14:paraId="15D03CE4" w14:textId="77777777" w:rsidR="00E02B1E" w:rsidRPr="00287A5B" w:rsidRDefault="00E02B1E" w:rsidP="00E02B1E">
            <w:pPr>
              <w:pStyle w:val="TableText"/>
              <w:rPr>
                <w:b w:val="0"/>
                <w:bCs/>
              </w:rPr>
            </w:pPr>
          </w:p>
        </w:tc>
        <w:tc>
          <w:tcPr>
            <w:tcW w:w="0" w:type="pct"/>
          </w:tcPr>
          <w:p w14:paraId="70BCA7E7" w14:textId="0E36C9BD" w:rsidR="00E02B1E" w:rsidRDefault="00E02B1E" w:rsidP="00E02B1E">
            <w:pPr>
              <w:pStyle w:val="TableText"/>
              <w:cnfStyle w:val="000000000000" w:firstRow="0" w:lastRow="0" w:firstColumn="0" w:lastColumn="0" w:oddVBand="0" w:evenVBand="0" w:oddHBand="0" w:evenHBand="0" w:firstRowFirstColumn="0" w:firstRowLastColumn="0" w:lastRowFirstColumn="0" w:lastRowLastColumn="0"/>
            </w:pPr>
            <w:r>
              <w:t>Completion</w:t>
            </w:r>
          </w:p>
        </w:tc>
        <w:tc>
          <w:tcPr>
            <w:tcW w:w="539" w:type="pct"/>
            <w:vAlign w:val="center"/>
          </w:tcPr>
          <w:p w14:paraId="10824826" w14:textId="58B02A1E" w:rsidR="00E02B1E" w:rsidRDefault="00E02B1E" w:rsidP="009E22D6">
            <w:pPr>
              <w:pStyle w:val="TableText"/>
              <w:jc w:val="right"/>
              <w:cnfStyle w:val="000000000000" w:firstRow="0" w:lastRow="0" w:firstColumn="0" w:lastColumn="0" w:oddVBand="0" w:evenVBand="0" w:oddHBand="0" w:evenHBand="0" w:firstRowFirstColumn="0" w:firstRowLastColumn="0" w:lastRowFirstColumn="0" w:lastRowLastColumn="0"/>
            </w:pPr>
            <w:r>
              <w:rPr>
                <w:rFonts w:cs="Arial"/>
              </w:rPr>
              <w:t>10</w:t>
            </w:r>
          </w:p>
        </w:tc>
        <w:tc>
          <w:tcPr>
            <w:tcW w:w="539" w:type="pct"/>
            <w:vAlign w:val="center"/>
          </w:tcPr>
          <w:p w14:paraId="71169DC3" w14:textId="794CA5C0" w:rsidR="00E02B1E" w:rsidRDefault="00E02B1E" w:rsidP="009E22D6">
            <w:pPr>
              <w:pStyle w:val="TableText"/>
              <w:jc w:val="right"/>
              <w:cnfStyle w:val="000000000000" w:firstRow="0" w:lastRow="0" w:firstColumn="0" w:lastColumn="0" w:oddVBand="0" w:evenVBand="0" w:oddHBand="0" w:evenHBand="0" w:firstRowFirstColumn="0" w:firstRowLastColumn="0" w:lastRowFirstColumn="0" w:lastRowLastColumn="0"/>
            </w:pPr>
            <w:r>
              <w:rPr>
                <w:rFonts w:cs="Arial"/>
              </w:rPr>
              <w:t>10</w:t>
            </w:r>
          </w:p>
        </w:tc>
        <w:tc>
          <w:tcPr>
            <w:tcW w:w="539" w:type="pct"/>
            <w:vAlign w:val="center"/>
          </w:tcPr>
          <w:p w14:paraId="0BAF3861" w14:textId="0C7FA353" w:rsidR="00E02B1E" w:rsidRDefault="00E02B1E" w:rsidP="009E22D6">
            <w:pPr>
              <w:pStyle w:val="TableText"/>
              <w:jc w:val="right"/>
              <w:cnfStyle w:val="000000000000" w:firstRow="0" w:lastRow="0" w:firstColumn="0" w:lastColumn="0" w:oddVBand="0" w:evenVBand="0" w:oddHBand="0" w:evenHBand="0" w:firstRowFirstColumn="0" w:firstRowLastColumn="0" w:lastRowFirstColumn="0" w:lastRowLastColumn="0"/>
            </w:pPr>
            <w:r>
              <w:rPr>
                <w:rFonts w:cs="Arial"/>
              </w:rPr>
              <w:t>11</w:t>
            </w:r>
          </w:p>
        </w:tc>
        <w:tc>
          <w:tcPr>
            <w:tcW w:w="539" w:type="pct"/>
            <w:vAlign w:val="center"/>
          </w:tcPr>
          <w:p w14:paraId="5C12A280" w14:textId="17A96246" w:rsidR="00E02B1E" w:rsidRDefault="00E02B1E" w:rsidP="009E22D6">
            <w:pPr>
              <w:pStyle w:val="TableText"/>
              <w:jc w:val="right"/>
              <w:cnfStyle w:val="000000000000" w:firstRow="0" w:lastRow="0" w:firstColumn="0" w:lastColumn="0" w:oddVBand="0" w:evenVBand="0" w:oddHBand="0" w:evenHBand="0" w:firstRowFirstColumn="0" w:firstRowLastColumn="0" w:lastRowFirstColumn="0" w:lastRowLastColumn="0"/>
            </w:pPr>
            <w:r>
              <w:rPr>
                <w:rFonts w:cs="Arial"/>
              </w:rPr>
              <w:t>15</w:t>
            </w:r>
          </w:p>
        </w:tc>
        <w:tc>
          <w:tcPr>
            <w:tcW w:w="540" w:type="pct"/>
            <w:vAlign w:val="center"/>
          </w:tcPr>
          <w:p w14:paraId="51F0EA5B" w14:textId="582BD6F8" w:rsidR="00E02B1E" w:rsidRDefault="00E02B1E" w:rsidP="009E22D6">
            <w:pPr>
              <w:pStyle w:val="TableText"/>
              <w:jc w:val="right"/>
              <w:cnfStyle w:val="000000000000" w:firstRow="0" w:lastRow="0" w:firstColumn="0" w:lastColumn="0" w:oddVBand="0" w:evenVBand="0" w:oddHBand="0" w:evenHBand="0" w:firstRowFirstColumn="0" w:firstRowLastColumn="0" w:lastRowFirstColumn="0" w:lastRowLastColumn="0"/>
            </w:pPr>
            <w:r>
              <w:rPr>
                <w:rFonts w:cs="Arial"/>
              </w:rPr>
              <w:t>36</w:t>
            </w:r>
          </w:p>
        </w:tc>
      </w:tr>
      <w:tr w:rsidR="009042AD" w14:paraId="41E14B1E" w14:textId="77777777" w:rsidTr="009E2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9" w:type="pct"/>
            <w:vMerge w:val="restart"/>
            <w:vAlign w:val="center"/>
          </w:tcPr>
          <w:p w14:paraId="3E0F0343" w14:textId="305E6439" w:rsidR="00E02B1E" w:rsidRPr="00287A5B" w:rsidRDefault="00E02B1E" w:rsidP="00E02B1E">
            <w:pPr>
              <w:pStyle w:val="TableText"/>
              <w:rPr>
                <w:b w:val="0"/>
                <w:bCs/>
              </w:rPr>
            </w:pPr>
            <w:r w:rsidRPr="00287A5B">
              <w:rPr>
                <w:b w:val="0"/>
                <w:bCs/>
              </w:rPr>
              <w:t>Certificate III in Small Mining Operations</w:t>
            </w:r>
          </w:p>
        </w:tc>
        <w:tc>
          <w:tcPr>
            <w:tcW w:w="0" w:type="pct"/>
          </w:tcPr>
          <w:p w14:paraId="60FCEB38" w14:textId="62A47C11" w:rsidR="00E02B1E" w:rsidRDefault="00E02B1E" w:rsidP="00E02B1E">
            <w:pPr>
              <w:pStyle w:val="TableText"/>
              <w:cnfStyle w:val="000000100000" w:firstRow="0" w:lastRow="0" w:firstColumn="0" w:lastColumn="0" w:oddVBand="0" w:evenVBand="0" w:oddHBand="1" w:evenHBand="0" w:firstRowFirstColumn="0" w:firstRowLastColumn="0" w:lastRowFirstColumn="0" w:lastRowLastColumn="0"/>
            </w:pPr>
            <w:r>
              <w:t>Enrolment</w:t>
            </w:r>
          </w:p>
        </w:tc>
        <w:tc>
          <w:tcPr>
            <w:tcW w:w="539" w:type="pct"/>
            <w:vAlign w:val="center"/>
          </w:tcPr>
          <w:p w14:paraId="2E3314A8" w14:textId="33A0EB88" w:rsidR="00E02B1E" w:rsidRDefault="00E02B1E" w:rsidP="009E22D6">
            <w:pPr>
              <w:pStyle w:val="TableText"/>
              <w:jc w:val="right"/>
              <w:cnfStyle w:val="000000100000" w:firstRow="0" w:lastRow="0" w:firstColumn="0" w:lastColumn="0" w:oddVBand="0" w:evenVBand="0" w:oddHBand="1" w:evenHBand="0" w:firstRowFirstColumn="0" w:firstRowLastColumn="0" w:lastRowFirstColumn="0" w:lastRowLastColumn="0"/>
            </w:pPr>
            <w:r>
              <w:t>38</w:t>
            </w:r>
          </w:p>
        </w:tc>
        <w:tc>
          <w:tcPr>
            <w:tcW w:w="539" w:type="pct"/>
            <w:vAlign w:val="center"/>
          </w:tcPr>
          <w:p w14:paraId="0BD52953" w14:textId="7C3B99E8" w:rsidR="00E02B1E" w:rsidRDefault="00E02B1E" w:rsidP="009E22D6">
            <w:pPr>
              <w:pStyle w:val="TableText"/>
              <w:jc w:val="right"/>
              <w:cnfStyle w:val="000000100000" w:firstRow="0" w:lastRow="0" w:firstColumn="0" w:lastColumn="0" w:oddVBand="0" w:evenVBand="0" w:oddHBand="1" w:evenHBand="0" w:firstRowFirstColumn="0" w:firstRowLastColumn="0" w:lastRowFirstColumn="0" w:lastRowLastColumn="0"/>
            </w:pPr>
            <w:r>
              <w:t>0</w:t>
            </w:r>
          </w:p>
        </w:tc>
        <w:tc>
          <w:tcPr>
            <w:tcW w:w="539" w:type="pct"/>
            <w:vAlign w:val="center"/>
          </w:tcPr>
          <w:p w14:paraId="27C37D28" w14:textId="57AD84EA" w:rsidR="00E02B1E" w:rsidRDefault="00E02B1E" w:rsidP="009E22D6">
            <w:pPr>
              <w:pStyle w:val="TableText"/>
              <w:jc w:val="right"/>
              <w:cnfStyle w:val="000000100000" w:firstRow="0" w:lastRow="0" w:firstColumn="0" w:lastColumn="0" w:oddVBand="0" w:evenVBand="0" w:oddHBand="1" w:evenHBand="0" w:firstRowFirstColumn="0" w:firstRowLastColumn="0" w:lastRowFirstColumn="0" w:lastRowLastColumn="0"/>
            </w:pPr>
            <w:r>
              <w:t>0</w:t>
            </w:r>
          </w:p>
        </w:tc>
        <w:tc>
          <w:tcPr>
            <w:tcW w:w="539" w:type="pct"/>
            <w:vAlign w:val="center"/>
          </w:tcPr>
          <w:p w14:paraId="2B13C2ED" w14:textId="64C7A9E5" w:rsidR="00E02B1E" w:rsidRDefault="00E02B1E" w:rsidP="009E22D6">
            <w:pPr>
              <w:pStyle w:val="TableText"/>
              <w:jc w:val="right"/>
              <w:cnfStyle w:val="000000100000" w:firstRow="0" w:lastRow="0" w:firstColumn="0" w:lastColumn="0" w:oddVBand="0" w:evenVBand="0" w:oddHBand="1" w:evenHBand="0" w:firstRowFirstColumn="0" w:firstRowLastColumn="0" w:lastRowFirstColumn="0" w:lastRowLastColumn="0"/>
            </w:pPr>
            <w:r>
              <w:t>0</w:t>
            </w:r>
          </w:p>
        </w:tc>
        <w:tc>
          <w:tcPr>
            <w:tcW w:w="540" w:type="pct"/>
            <w:vAlign w:val="center"/>
          </w:tcPr>
          <w:p w14:paraId="61D8B7EE" w14:textId="314A57A6" w:rsidR="00E02B1E" w:rsidRDefault="00E02B1E" w:rsidP="009E22D6">
            <w:pPr>
              <w:pStyle w:val="TableText"/>
              <w:jc w:val="right"/>
              <w:cnfStyle w:val="000000100000" w:firstRow="0" w:lastRow="0" w:firstColumn="0" w:lastColumn="0" w:oddVBand="0" w:evenVBand="0" w:oddHBand="1" w:evenHBand="0" w:firstRowFirstColumn="0" w:firstRowLastColumn="0" w:lastRowFirstColumn="0" w:lastRowLastColumn="0"/>
            </w:pPr>
            <w:r>
              <w:t>0</w:t>
            </w:r>
          </w:p>
        </w:tc>
      </w:tr>
      <w:tr w:rsidR="009042AD" w14:paraId="2E8D23F7" w14:textId="77777777" w:rsidTr="009E22D6">
        <w:tc>
          <w:tcPr>
            <w:cnfStyle w:val="001000000000" w:firstRow="0" w:lastRow="0" w:firstColumn="1" w:lastColumn="0" w:oddVBand="0" w:evenVBand="0" w:oddHBand="0" w:evenHBand="0" w:firstRowFirstColumn="0" w:firstRowLastColumn="0" w:lastRowFirstColumn="0" w:lastRowLastColumn="0"/>
            <w:tcW w:w="1619" w:type="pct"/>
            <w:vMerge/>
            <w:vAlign w:val="center"/>
          </w:tcPr>
          <w:p w14:paraId="7B0B88F9" w14:textId="77777777" w:rsidR="00E02B1E" w:rsidRPr="00287A5B" w:rsidRDefault="00E02B1E" w:rsidP="00E02B1E">
            <w:pPr>
              <w:pStyle w:val="TableText"/>
              <w:rPr>
                <w:b w:val="0"/>
                <w:bCs/>
              </w:rPr>
            </w:pPr>
          </w:p>
        </w:tc>
        <w:tc>
          <w:tcPr>
            <w:tcW w:w="0" w:type="pct"/>
          </w:tcPr>
          <w:p w14:paraId="0492B8D0" w14:textId="50B6C5A6" w:rsidR="00E02B1E" w:rsidRDefault="00E02B1E" w:rsidP="00E02B1E">
            <w:pPr>
              <w:pStyle w:val="TableText"/>
              <w:cnfStyle w:val="000000000000" w:firstRow="0" w:lastRow="0" w:firstColumn="0" w:lastColumn="0" w:oddVBand="0" w:evenVBand="0" w:oddHBand="0" w:evenHBand="0" w:firstRowFirstColumn="0" w:firstRowLastColumn="0" w:lastRowFirstColumn="0" w:lastRowLastColumn="0"/>
            </w:pPr>
            <w:r>
              <w:t>Completion</w:t>
            </w:r>
          </w:p>
        </w:tc>
        <w:tc>
          <w:tcPr>
            <w:tcW w:w="539" w:type="pct"/>
            <w:vAlign w:val="center"/>
          </w:tcPr>
          <w:p w14:paraId="02A796DF" w14:textId="3F789740" w:rsidR="00E02B1E" w:rsidRDefault="00E02B1E" w:rsidP="009E22D6">
            <w:pPr>
              <w:pStyle w:val="TableText"/>
              <w:jc w:val="right"/>
              <w:cnfStyle w:val="000000000000" w:firstRow="0" w:lastRow="0" w:firstColumn="0" w:lastColumn="0" w:oddVBand="0" w:evenVBand="0" w:oddHBand="0" w:evenHBand="0" w:firstRowFirstColumn="0" w:firstRowLastColumn="0" w:lastRowFirstColumn="0" w:lastRowLastColumn="0"/>
            </w:pPr>
            <w:r>
              <w:t>0</w:t>
            </w:r>
          </w:p>
        </w:tc>
        <w:tc>
          <w:tcPr>
            <w:tcW w:w="539" w:type="pct"/>
            <w:vAlign w:val="center"/>
          </w:tcPr>
          <w:p w14:paraId="6D4EEEDA" w14:textId="158C56CA" w:rsidR="00E02B1E" w:rsidRDefault="00E02B1E" w:rsidP="009E22D6">
            <w:pPr>
              <w:pStyle w:val="TableText"/>
              <w:jc w:val="right"/>
              <w:cnfStyle w:val="000000000000" w:firstRow="0" w:lastRow="0" w:firstColumn="0" w:lastColumn="0" w:oddVBand="0" w:evenVBand="0" w:oddHBand="0" w:evenHBand="0" w:firstRowFirstColumn="0" w:firstRowLastColumn="0" w:lastRowFirstColumn="0" w:lastRowLastColumn="0"/>
            </w:pPr>
            <w:r>
              <w:t>0</w:t>
            </w:r>
          </w:p>
        </w:tc>
        <w:tc>
          <w:tcPr>
            <w:tcW w:w="539" w:type="pct"/>
            <w:vAlign w:val="center"/>
          </w:tcPr>
          <w:p w14:paraId="0B7C0EAE" w14:textId="36D0E391" w:rsidR="00E02B1E" w:rsidRDefault="00E02B1E" w:rsidP="009E22D6">
            <w:pPr>
              <w:pStyle w:val="TableText"/>
              <w:jc w:val="right"/>
              <w:cnfStyle w:val="000000000000" w:firstRow="0" w:lastRow="0" w:firstColumn="0" w:lastColumn="0" w:oddVBand="0" w:evenVBand="0" w:oddHBand="0" w:evenHBand="0" w:firstRowFirstColumn="0" w:firstRowLastColumn="0" w:lastRowFirstColumn="0" w:lastRowLastColumn="0"/>
            </w:pPr>
            <w:r>
              <w:t>0</w:t>
            </w:r>
          </w:p>
        </w:tc>
        <w:tc>
          <w:tcPr>
            <w:tcW w:w="539" w:type="pct"/>
            <w:vAlign w:val="center"/>
          </w:tcPr>
          <w:p w14:paraId="4BABFB33" w14:textId="5ACD9E6A" w:rsidR="00E02B1E" w:rsidRDefault="00E02B1E" w:rsidP="009E22D6">
            <w:pPr>
              <w:pStyle w:val="TableText"/>
              <w:jc w:val="right"/>
              <w:cnfStyle w:val="000000000000" w:firstRow="0" w:lastRow="0" w:firstColumn="0" w:lastColumn="0" w:oddVBand="0" w:evenVBand="0" w:oddHBand="0" w:evenHBand="0" w:firstRowFirstColumn="0" w:firstRowLastColumn="0" w:lastRowFirstColumn="0" w:lastRowLastColumn="0"/>
            </w:pPr>
            <w:r>
              <w:t>0</w:t>
            </w:r>
          </w:p>
        </w:tc>
        <w:tc>
          <w:tcPr>
            <w:tcW w:w="540" w:type="pct"/>
            <w:vAlign w:val="center"/>
          </w:tcPr>
          <w:p w14:paraId="0BC8BCE3" w14:textId="0C4A88AA" w:rsidR="00E02B1E" w:rsidRDefault="00E02B1E" w:rsidP="009E22D6">
            <w:pPr>
              <w:pStyle w:val="TableText"/>
              <w:jc w:val="right"/>
              <w:cnfStyle w:val="000000000000" w:firstRow="0" w:lastRow="0" w:firstColumn="0" w:lastColumn="0" w:oddVBand="0" w:evenVBand="0" w:oddHBand="0" w:evenHBand="0" w:firstRowFirstColumn="0" w:firstRowLastColumn="0" w:lastRowFirstColumn="0" w:lastRowLastColumn="0"/>
            </w:pPr>
            <w:r>
              <w:t>0</w:t>
            </w:r>
          </w:p>
        </w:tc>
      </w:tr>
      <w:tr w:rsidR="009042AD" w14:paraId="7A5F58E5" w14:textId="77777777" w:rsidTr="009E2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9" w:type="pct"/>
            <w:vMerge w:val="restart"/>
            <w:vAlign w:val="center"/>
          </w:tcPr>
          <w:p w14:paraId="412C79DA" w14:textId="7D5C9E56" w:rsidR="00E02B1E" w:rsidRPr="00C02DAF" w:rsidRDefault="00E02B1E" w:rsidP="00E02B1E">
            <w:pPr>
              <w:pStyle w:val="TableText"/>
              <w:rPr>
                <w:b w:val="0"/>
                <w:bCs/>
              </w:rPr>
            </w:pPr>
            <w:r w:rsidRPr="00C02DAF">
              <w:rPr>
                <w:b w:val="0"/>
                <w:bCs/>
              </w:rPr>
              <w:t>Certificate III in Drilling Operations</w:t>
            </w:r>
          </w:p>
        </w:tc>
        <w:tc>
          <w:tcPr>
            <w:tcW w:w="0" w:type="pct"/>
          </w:tcPr>
          <w:p w14:paraId="624B8486" w14:textId="65334DCA" w:rsidR="00E02B1E" w:rsidRDefault="00E02B1E" w:rsidP="00E02B1E">
            <w:pPr>
              <w:pStyle w:val="TableText"/>
              <w:cnfStyle w:val="000000100000" w:firstRow="0" w:lastRow="0" w:firstColumn="0" w:lastColumn="0" w:oddVBand="0" w:evenVBand="0" w:oddHBand="1" w:evenHBand="0" w:firstRowFirstColumn="0" w:firstRowLastColumn="0" w:lastRowFirstColumn="0" w:lastRowLastColumn="0"/>
            </w:pPr>
            <w:r>
              <w:t>Enrolment</w:t>
            </w:r>
          </w:p>
        </w:tc>
        <w:tc>
          <w:tcPr>
            <w:tcW w:w="539" w:type="pct"/>
            <w:vAlign w:val="center"/>
          </w:tcPr>
          <w:p w14:paraId="0D1A33EA" w14:textId="104F39BC" w:rsidR="00E02B1E" w:rsidRDefault="00E02B1E" w:rsidP="009E22D6">
            <w:pPr>
              <w:pStyle w:val="TableText"/>
              <w:jc w:val="right"/>
              <w:cnfStyle w:val="000000100000" w:firstRow="0" w:lastRow="0" w:firstColumn="0" w:lastColumn="0" w:oddVBand="0" w:evenVBand="0" w:oddHBand="1" w:evenHBand="0" w:firstRowFirstColumn="0" w:firstRowLastColumn="0" w:lastRowFirstColumn="0" w:lastRowLastColumn="0"/>
            </w:pPr>
            <w:r>
              <w:t>23</w:t>
            </w:r>
          </w:p>
        </w:tc>
        <w:tc>
          <w:tcPr>
            <w:tcW w:w="539" w:type="pct"/>
            <w:vAlign w:val="center"/>
          </w:tcPr>
          <w:p w14:paraId="68070E60" w14:textId="43EA4073" w:rsidR="00E02B1E" w:rsidRDefault="00E02B1E" w:rsidP="009E22D6">
            <w:pPr>
              <w:pStyle w:val="TableText"/>
              <w:jc w:val="right"/>
              <w:cnfStyle w:val="000000100000" w:firstRow="0" w:lastRow="0" w:firstColumn="0" w:lastColumn="0" w:oddVBand="0" w:evenVBand="0" w:oddHBand="1" w:evenHBand="0" w:firstRowFirstColumn="0" w:firstRowLastColumn="0" w:lastRowFirstColumn="0" w:lastRowLastColumn="0"/>
            </w:pPr>
            <w:r>
              <w:t>20</w:t>
            </w:r>
          </w:p>
        </w:tc>
        <w:tc>
          <w:tcPr>
            <w:tcW w:w="539" w:type="pct"/>
            <w:vAlign w:val="center"/>
          </w:tcPr>
          <w:p w14:paraId="45BA44FB" w14:textId="06B7145C" w:rsidR="00E02B1E" w:rsidRDefault="00E02B1E" w:rsidP="009E22D6">
            <w:pPr>
              <w:pStyle w:val="TableText"/>
              <w:jc w:val="right"/>
              <w:cnfStyle w:val="000000100000" w:firstRow="0" w:lastRow="0" w:firstColumn="0" w:lastColumn="0" w:oddVBand="0" w:evenVBand="0" w:oddHBand="1" w:evenHBand="0" w:firstRowFirstColumn="0" w:firstRowLastColumn="0" w:lastRowFirstColumn="0" w:lastRowLastColumn="0"/>
            </w:pPr>
            <w:r>
              <w:t>19</w:t>
            </w:r>
          </w:p>
        </w:tc>
        <w:tc>
          <w:tcPr>
            <w:tcW w:w="539" w:type="pct"/>
            <w:vAlign w:val="center"/>
          </w:tcPr>
          <w:p w14:paraId="2528BED2" w14:textId="1D433BC0" w:rsidR="00E02B1E" w:rsidRDefault="00E02B1E" w:rsidP="009E22D6">
            <w:pPr>
              <w:pStyle w:val="TableText"/>
              <w:jc w:val="right"/>
              <w:cnfStyle w:val="000000100000" w:firstRow="0" w:lastRow="0" w:firstColumn="0" w:lastColumn="0" w:oddVBand="0" w:evenVBand="0" w:oddHBand="1" w:evenHBand="0" w:firstRowFirstColumn="0" w:firstRowLastColumn="0" w:lastRowFirstColumn="0" w:lastRowLastColumn="0"/>
            </w:pPr>
            <w:r>
              <w:t>13</w:t>
            </w:r>
          </w:p>
        </w:tc>
        <w:tc>
          <w:tcPr>
            <w:tcW w:w="540" w:type="pct"/>
            <w:vAlign w:val="center"/>
          </w:tcPr>
          <w:p w14:paraId="0627EAD7" w14:textId="4974BA9D" w:rsidR="00E02B1E" w:rsidRDefault="00E02B1E" w:rsidP="009E22D6">
            <w:pPr>
              <w:pStyle w:val="TableText"/>
              <w:jc w:val="right"/>
              <w:cnfStyle w:val="000000100000" w:firstRow="0" w:lastRow="0" w:firstColumn="0" w:lastColumn="0" w:oddVBand="0" w:evenVBand="0" w:oddHBand="1" w:evenHBand="0" w:firstRowFirstColumn="0" w:firstRowLastColumn="0" w:lastRowFirstColumn="0" w:lastRowLastColumn="0"/>
            </w:pPr>
            <w:r>
              <w:t>11</w:t>
            </w:r>
          </w:p>
        </w:tc>
      </w:tr>
      <w:tr w:rsidR="009042AD" w14:paraId="08C56250" w14:textId="77777777" w:rsidTr="009E22D6">
        <w:tc>
          <w:tcPr>
            <w:cnfStyle w:val="001000000000" w:firstRow="0" w:lastRow="0" w:firstColumn="1" w:lastColumn="0" w:oddVBand="0" w:evenVBand="0" w:oddHBand="0" w:evenHBand="0" w:firstRowFirstColumn="0" w:firstRowLastColumn="0" w:lastRowFirstColumn="0" w:lastRowLastColumn="0"/>
            <w:tcW w:w="1619" w:type="pct"/>
            <w:vMerge/>
          </w:tcPr>
          <w:p w14:paraId="36E2481F" w14:textId="77777777" w:rsidR="00E02B1E" w:rsidRPr="00C02DAF" w:rsidRDefault="00E02B1E" w:rsidP="00E02B1E">
            <w:pPr>
              <w:pStyle w:val="TableText"/>
              <w:rPr>
                <w:b w:val="0"/>
                <w:bCs/>
              </w:rPr>
            </w:pPr>
          </w:p>
        </w:tc>
        <w:tc>
          <w:tcPr>
            <w:tcW w:w="0" w:type="pct"/>
          </w:tcPr>
          <w:p w14:paraId="21F59BB7" w14:textId="64DB600F" w:rsidR="00E02B1E" w:rsidRDefault="00E02B1E" w:rsidP="00E02B1E">
            <w:pPr>
              <w:pStyle w:val="TableText"/>
              <w:cnfStyle w:val="000000000000" w:firstRow="0" w:lastRow="0" w:firstColumn="0" w:lastColumn="0" w:oddVBand="0" w:evenVBand="0" w:oddHBand="0" w:evenHBand="0" w:firstRowFirstColumn="0" w:firstRowLastColumn="0" w:lastRowFirstColumn="0" w:lastRowLastColumn="0"/>
            </w:pPr>
            <w:r>
              <w:t>Completion</w:t>
            </w:r>
          </w:p>
        </w:tc>
        <w:tc>
          <w:tcPr>
            <w:tcW w:w="539" w:type="pct"/>
            <w:vAlign w:val="center"/>
          </w:tcPr>
          <w:p w14:paraId="4279D252" w14:textId="4A669FB6" w:rsidR="00E02B1E" w:rsidRDefault="00E02B1E" w:rsidP="009E22D6">
            <w:pPr>
              <w:pStyle w:val="TableText"/>
              <w:jc w:val="right"/>
              <w:cnfStyle w:val="000000000000" w:firstRow="0" w:lastRow="0" w:firstColumn="0" w:lastColumn="0" w:oddVBand="0" w:evenVBand="0" w:oddHBand="0" w:evenHBand="0" w:firstRowFirstColumn="0" w:firstRowLastColumn="0" w:lastRowFirstColumn="0" w:lastRowLastColumn="0"/>
            </w:pPr>
            <w:r>
              <w:t>3</w:t>
            </w:r>
          </w:p>
        </w:tc>
        <w:tc>
          <w:tcPr>
            <w:tcW w:w="539" w:type="pct"/>
            <w:vAlign w:val="center"/>
          </w:tcPr>
          <w:p w14:paraId="56B7C6EA" w14:textId="0CB7570B" w:rsidR="00E02B1E" w:rsidRDefault="00E02B1E" w:rsidP="009E22D6">
            <w:pPr>
              <w:pStyle w:val="TableText"/>
              <w:jc w:val="right"/>
              <w:cnfStyle w:val="000000000000" w:firstRow="0" w:lastRow="0" w:firstColumn="0" w:lastColumn="0" w:oddVBand="0" w:evenVBand="0" w:oddHBand="0" w:evenHBand="0" w:firstRowFirstColumn="0" w:firstRowLastColumn="0" w:lastRowFirstColumn="0" w:lastRowLastColumn="0"/>
            </w:pPr>
            <w:r>
              <w:t>0</w:t>
            </w:r>
          </w:p>
        </w:tc>
        <w:tc>
          <w:tcPr>
            <w:tcW w:w="539" w:type="pct"/>
            <w:vAlign w:val="center"/>
          </w:tcPr>
          <w:p w14:paraId="7A242F7A" w14:textId="3894C95E" w:rsidR="00E02B1E" w:rsidRDefault="00E02B1E" w:rsidP="009E22D6">
            <w:pPr>
              <w:pStyle w:val="TableText"/>
              <w:jc w:val="right"/>
              <w:cnfStyle w:val="000000000000" w:firstRow="0" w:lastRow="0" w:firstColumn="0" w:lastColumn="0" w:oddVBand="0" w:evenVBand="0" w:oddHBand="0" w:evenHBand="0" w:firstRowFirstColumn="0" w:firstRowLastColumn="0" w:lastRowFirstColumn="0" w:lastRowLastColumn="0"/>
            </w:pPr>
            <w:r>
              <w:t>10</w:t>
            </w:r>
          </w:p>
        </w:tc>
        <w:tc>
          <w:tcPr>
            <w:tcW w:w="539" w:type="pct"/>
            <w:vAlign w:val="center"/>
          </w:tcPr>
          <w:p w14:paraId="0C64F7AC" w14:textId="3757F62A" w:rsidR="00E02B1E" w:rsidRDefault="00E02B1E" w:rsidP="009E22D6">
            <w:pPr>
              <w:pStyle w:val="TableText"/>
              <w:jc w:val="right"/>
              <w:cnfStyle w:val="000000000000" w:firstRow="0" w:lastRow="0" w:firstColumn="0" w:lastColumn="0" w:oddVBand="0" w:evenVBand="0" w:oddHBand="0" w:evenHBand="0" w:firstRowFirstColumn="0" w:firstRowLastColumn="0" w:lastRowFirstColumn="0" w:lastRowLastColumn="0"/>
            </w:pPr>
            <w:r>
              <w:t>4</w:t>
            </w:r>
          </w:p>
        </w:tc>
        <w:tc>
          <w:tcPr>
            <w:tcW w:w="540" w:type="pct"/>
            <w:vAlign w:val="center"/>
          </w:tcPr>
          <w:p w14:paraId="666375C6" w14:textId="7CA8F809" w:rsidR="00E02B1E" w:rsidRDefault="00E02B1E" w:rsidP="009E22D6">
            <w:pPr>
              <w:pStyle w:val="TableText"/>
              <w:jc w:val="right"/>
              <w:cnfStyle w:val="000000000000" w:firstRow="0" w:lastRow="0" w:firstColumn="0" w:lastColumn="0" w:oddVBand="0" w:evenVBand="0" w:oddHBand="0" w:evenHBand="0" w:firstRowFirstColumn="0" w:firstRowLastColumn="0" w:lastRowFirstColumn="0" w:lastRowLastColumn="0"/>
            </w:pPr>
            <w:r>
              <w:t>1</w:t>
            </w:r>
          </w:p>
        </w:tc>
      </w:tr>
      <w:tr w:rsidR="009042AD" w14:paraId="3E755023" w14:textId="77777777" w:rsidTr="009E2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9" w:type="pct"/>
            <w:vMerge w:val="restart"/>
            <w:vAlign w:val="center"/>
          </w:tcPr>
          <w:p w14:paraId="708C5D6A" w14:textId="0AF63B53" w:rsidR="00A76F6D" w:rsidRPr="009E22D6" w:rsidRDefault="00A76F6D">
            <w:pPr>
              <w:pStyle w:val="TableText"/>
            </w:pPr>
            <w:r w:rsidRPr="00A76F6D">
              <w:t>Total</w:t>
            </w:r>
          </w:p>
        </w:tc>
        <w:tc>
          <w:tcPr>
            <w:tcW w:w="684" w:type="pct"/>
          </w:tcPr>
          <w:p w14:paraId="53E89DB3" w14:textId="12C4F712" w:rsidR="00A76F6D" w:rsidRPr="009E22D6" w:rsidRDefault="00A76F6D" w:rsidP="00A76F6D">
            <w:pPr>
              <w:pStyle w:val="TableText"/>
              <w:cnfStyle w:val="000000100000" w:firstRow="0" w:lastRow="0" w:firstColumn="0" w:lastColumn="0" w:oddVBand="0" w:evenVBand="0" w:oddHBand="1" w:evenHBand="0" w:firstRowFirstColumn="0" w:firstRowLastColumn="0" w:lastRowFirstColumn="0" w:lastRowLastColumn="0"/>
              <w:rPr>
                <w:b/>
                <w:bCs w:val="0"/>
              </w:rPr>
            </w:pPr>
            <w:r w:rsidRPr="009E22D6">
              <w:rPr>
                <w:b/>
                <w:bCs w:val="0"/>
              </w:rPr>
              <w:t>Enrolment</w:t>
            </w:r>
          </w:p>
        </w:tc>
        <w:tc>
          <w:tcPr>
            <w:tcW w:w="539" w:type="pct"/>
          </w:tcPr>
          <w:p w14:paraId="1DF6AEFA" w14:textId="7989F19B" w:rsidR="00A76F6D" w:rsidRPr="009E22D6" w:rsidRDefault="00A76F6D" w:rsidP="00A76F6D">
            <w:pPr>
              <w:pStyle w:val="TableText"/>
              <w:jc w:val="right"/>
              <w:cnfStyle w:val="000000100000" w:firstRow="0" w:lastRow="0" w:firstColumn="0" w:lastColumn="0" w:oddVBand="0" w:evenVBand="0" w:oddHBand="1" w:evenHBand="0" w:firstRowFirstColumn="0" w:firstRowLastColumn="0" w:lastRowFirstColumn="0" w:lastRowLastColumn="0"/>
              <w:rPr>
                <w:b/>
                <w:bCs w:val="0"/>
              </w:rPr>
            </w:pPr>
            <w:r w:rsidRPr="009E22D6">
              <w:rPr>
                <w:b/>
                <w:bCs w:val="0"/>
              </w:rPr>
              <w:t>386</w:t>
            </w:r>
          </w:p>
        </w:tc>
        <w:tc>
          <w:tcPr>
            <w:tcW w:w="539" w:type="pct"/>
          </w:tcPr>
          <w:p w14:paraId="1BA36339" w14:textId="3C06B9BA" w:rsidR="00A76F6D" w:rsidRPr="009E22D6" w:rsidRDefault="00A76F6D" w:rsidP="00A76F6D">
            <w:pPr>
              <w:pStyle w:val="TableText"/>
              <w:jc w:val="right"/>
              <w:cnfStyle w:val="000000100000" w:firstRow="0" w:lastRow="0" w:firstColumn="0" w:lastColumn="0" w:oddVBand="0" w:evenVBand="0" w:oddHBand="1" w:evenHBand="0" w:firstRowFirstColumn="0" w:firstRowLastColumn="0" w:lastRowFirstColumn="0" w:lastRowLastColumn="0"/>
              <w:rPr>
                <w:b/>
                <w:bCs w:val="0"/>
              </w:rPr>
            </w:pPr>
            <w:r w:rsidRPr="009E22D6">
              <w:rPr>
                <w:b/>
                <w:bCs w:val="0"/>
              </w:rPr>
              <w:t>315</w:t>
            </w:r>
          </w:p>
        </w:tc>
        <w:tc>
          <w:tcPr>
            <w:tcW w:w="539" w:type="pct"/>
          </w:tcPr>
          <w:p w14:paraId="6622303C" w14:textId="690FD621" w:rsidR="00A76F6D" w:rsidRPr="009E22D6" w:rsidRDefault="00A76F6D" w:rsidP="00A76F6D">
            <w:pPr>
              <w:pStyle w:val="TableText"/>
              <w:jc w:val="right"/>
              <w:cnfStyle w:val="000000100000" w:firstRow="0" w:lastRow="0" w:firstColumn="0" w:lastColumn="0" w:oddVBand="0" w:evenVBand="0" w:oddHBand="1" w:evenHBand="0" w:firstRowFirstColumn="0" w:firstRowLastColumn="0" w:lastRowFirstColumn="0" w:lastRowLastColumn="0"/>
              <w:rPr>
                <w:b/>
                <w:bCs w:val="0"/>
              </w:rPr>
            </w:pPr>
            <w:r w:rsidRPr="009E22D6">
              <w:rPr>
                <w:b/>
                <w:bCs w:val="0"/>
              </w:rPr>
              <w:t>194</w:t>
            </w:r>
          </w:p>
        </w:tc>
        <w:tc>
          <w:tcPr>
            <w:tcW w:w="539" w:type="pct"/>
          </w:tcPr>
          <w:p w14:paraId="48A16648" w14:textId="1F96ADB8" w:rsidR="00A76F6D" w:rsidRPr="009E22D6" w:rsidRDefault="00A76F6D" w:rsidP="00A76F6D">
            <w:pPr>
              <w:pStyle w:val="TableText"/>
              <w:jc w:val="right"/>
              <w:cnfStyle w:val="000000100000" w:firstRow="0" w:lastRow="0" w:firstColumn="0" w:lastColumn="0" w:oddVBand="0" w:evenVBand="0" w:oddHBand="1" w:evenHBand="0" w:firstRowFirstColumn="0" w:firstRowLastColumn="0" w:lastRowFirstColumn="0" w:lastRowLastColumn="0"/>
              <w:rPr>
                <w:b/>
                <w:bCs w:val="0"/>
              </w:rPr>
            </w:pPr>
            <w:r w:rsidRPr="009E22D6">
              <w:rPr>
                <w:b/>
                <w:bCs w:val="0"/>
              </w:rPr>
              <w:t>183</w:t>
            </w:r>
          </w:p>
        </w:tc>
        <w:tc>
          <w:tcPr>
            <w:tcW w:w="540" w:type="pct"/>
          </w:tcPr>
          <w:p w14:paraId="72DDB4FD" w14:textId="72933DBD" w:rsidR="00A76F6D" w:rsidRPr="009E22D6" w:rsidRDefault="00A76F6D" w:rsidP="00A76F6D">
            <w:pPr>
              <w:pStyle w:val="TableText"/>
              <w:jc w:val="right"/>
              <w:cnfStyle w:val="000000100000" w:firstRow="0" w:lastRow="0" w:firstColumn="0" w:lastColumn="0" w:oddVBand="0" w:evenVBand="0" w:oddHBand="1" w:evenHBand="0" w:firstRowFirstColumn="0" w:firstRowLastColumn="0" w:lastRowFirstColumn="0" w:lastRowLastColumn="0"/>
              <w:rPr>
                <w:b/>
                <w:bCs w:val="0"/>
              </w:rPr>
            </w:pPr>
            <w:r w:rsidRPr="009E22D6">
              <w:rPr>
                <w:b/>
                <w:bCs w:val="0"/>
              </w:rPr>
              <w:t>235</w:t>
            </w:r>
          </w:p>
        </w:tc>
      </w:tr>
      <w:tr w:rsidR="009042AD" w14:paraId="095DAA4B" w14:textId="77777777" w:rsidTr="009E22D6">
        <w:tc>
          <w:tcPr>
            <w:cnfStyle w:val="001000000000" w:firstRow="0" w:lastRow="0" w:firstColumn="1" w:lastColumn="0" w:oddVBand="0" w:evenVBand="0" w:oddHBand="0" w:evenHBand="0" w:firstRowFirstColumn="0" w:firstRowLastColumn="0" w:lastRowFirstColumn="0" w:lastRowLastColumn="0"/>
            <w:tcW w:w="1619" w:type="pct"/>
            <w:vMerge/>
          </w:tcPr>
          <w:p w14:paraId="35901CDE" w14:textId="77777777" w:rsidR="00A76F6D" w:rsidRPr="009E22D6" w:rsidRDefault="00A76F6D" w:rsidP="00A76F6D">
            <w:pPr>
              <w:pStyle w:val="TableText"/>
            </w:pPr>
          </w:p>
        </w:tc>
        <w:tc>
          <w:tcPr>
            <w:tcW w:w="684" w:type="pct"/>
          </w:tcPr>
          <w:p w14:paraId="74B0356E" w14:textId="29471C12" w:rsidR="00A76F6D" w:rsidRPr="009E22D6" w:rsidRDefault="00A76F6D" w:rsidP="00A76F6D">
            <w:pPr>
              <w:pStyle w:val="TableText"/>
              <w:cnfStyle w:val="000000000000" w:firstRow="0" w:lastRow="0" w:firstColumn="0" w:lastColumn="0" w:oddVBand="0" w:evenVBand="0" w:oddHBand="0" w:evenHBand="0" w:firstRowFirstColumn="0" w:firstRowLastColumn="0" w:lastRowFirstColumn="0" w:lastRowLastColumn="0"/>
              <w:rPr>
                <w:b/>
                <w:bCs w:val="0"/>
              </w:rPr>
            </w:pPr>
            <w:r w:rsidRPr="009E22D6">
              <w:rPr>
                <w:b/>
                <w:bCs w:val="0"/>
              </w:rPr>
              <w:t>Completion</w:t>
            </w:r>
          </w:p>
        </w:tc>
        <w:tc>
          <w:tcPr>
            <w:tcW w:w="539" w:type="pct"/>
          </w:tcPr>
          <w:p w14:paraId="26FEB36D" w14:textId="7F740007" w:rsidR="00A76F6D" w:rsidRPr="009E22D6" w:rsidRDefault="00A76F6D" w:rsidP="00A76F6D">
            <w:pPr>
              <w:pStyle w:val="TableText"/>
              <w:jc w:val="right"/>
              <w:cnfStyle w:val="000000000000" w:firstRow="0" w:lastRow="0" w:firstColumn="0" w:lastColumn="0" w:oddVBand="0" w:evenVBand="0" w:oddHBand="0" w:evenHBand="0" w:firstRowFirstColumn="0" w:firstRowLastColumn="0" w:lastRowFirstColumn="0" w:lastRowLastColumn="0"/>
              <w:rPr>
                <w:b/>
                <w:bCs w:val="0"/>
              </w:rPr>
            </w:pPr>
            <w:r w:rsidRPr="009E22D6">
              <w:rPr>
                <w:b/>
                <w:bCs w:val="0"/>
              </w:rPr>
              <w:t>84</w:t>
            </w:r>
          </w:p>
        </w:tc>
        <w:tc>
          <w:tcPr>
            <w:tcW w:w="539" w:type="pct"/>
          </w:tcPr>
          <w:p w14:paraId="143616D2" w14:textId="0DA4462B" w:rsidR="00A76F6D" w:rsidRPr="009E22D6" w:rsidRDefault="00A76F6D" w:rsidP="00A76F6D">
            <w:pPr>
              <w:pStyle w:val="TableText"/>
              <w:jc w:val="right"/>
              <w:cnfStyle w:val="000000000000" w:firstRow="0" w:lastRow="0" w:firstColumn="0" w:lastColumn="0" w:oddVBand="0" w:evenVBand="0" w:oddHBand="0" w:evenHBand="0" w:firstRowFirstColumn="0" w:firstRowLastColumn="0" w:lastRowFirstColumn="0" w:lastRowLastColumn="0"/>
              <w:rPr>
                <w:b/>
                <w:bCs w:val="0"/>
              </w:rPr>
            </w:pPr>
            <w:r w:rsidRPr="009E22D6">
              <w:rPr>
                <w:b/>
                <w:bCs w:val="0"/>
              </w:rPr>
              <w:t>112</w:t>
            </w:r>
          </w:p>
        </w:tc>
        <w:tc>
          <w:tcPr>
            <w:tcW w:w="539" w:type="pct"/>
          </w:tcPr>
          <w:p w14:paraId="7A162EEE" w14:textId="67221A86" w:rsidR="00A76F6D" w:rsidRPr="009E22D6" w:rsidRDefault="00A76F6D" w:rsidP="00A76F6D">
            <w:pPr>
              <w:pStyle w:val="TableText"/>
              <w:jc w:val="right"/>
              <w:cnfStyle w:val="000000000000" w:firstRow="0" w:lastRow="0" w:firstColumn="0" w:lastColumn="0" w:oddVBand="0" w:evenVBand="0" w:oddHBand="0" w:evenHBand="0" w:firstRowFirstColumn="0" w:firstRowLastColumn="0" w:lastRowFirstColumn="0" w:lastRowLastColumn="0"/>
              <w:rPr>
                <w:b/>
                <w:bCs w:val="0"/>
              </w:rPr>
            </w:pPr>
            <w:r w:rsidRPr="009E22D6">
              <w:rPr>
                <w:b/>
                <w:bCs w:val="0"/>
              </w:rPr>
              <w:t>89</w:t>
            </w:r>
          </w:p>
        </w:tc>
        <w:tc>
          <w:tcPr>
            <w:tcW w:w="539" w:type="pct"/>
          </w:tcPr>
          <w:p w14:paraId="40136CF4" w14:textId="22606E75" w:rsidR="00A76F6D" w:rsidRPr="009E22D6" w:rsidRDefault="00A76F6D" w:rsidP="00A76F6D">
            <w:pPr>
              <w:pStyle w:val="TableText"/>
              <w:jc w:val="right"/>
              <w:cnfStyle w:val="000000000000" w:firstRow="0" w:lastRow="0" w:firstColumn="0" w:lastColumn="0" w:oddVBand="0" w:evenVBand="0" w:oddHBand="0" w:evenHBand="0" w:firstRowFirstColumn="0" w:firstRowLastColumn="0" w:lastRowFirstColumn="0" w:lastRowLastColumn="0"/>
              <w:rPr>
                <w:b/>
                <w:bCs w:val="0"/>
              </w:rPr>
            </w:pPr>
            <w:r w:rsidRPr="009E22D6">
              <w:rPr>
                <w:b/>
                <w:bCs w:val="0"/>
              </w:rPr>
              <w:t>49</w:t>
            </w:r>
          </w:p>
        </w:tc>
        <w:tc>
          <w:tcPr>
            <w:tcW w:w="540" w:type="pct"/>
          </w:tcPr>
          <w:p w14:paraId="4447964C" w14:textId="687A47EE" w:rsidR="00A76F6D" w:rsidRPr="009E22D6" w:rsidRDefault="00A76F6D" w:rsidP="00A76F6D">
            <w:pPr>
              <w:pStyle w:val="TableText"/>
              <w:jc w:val="right"/>
              <w:cnfStyle w:val="000000000000" w:firstRow="0" w:lastRow="0" w:firstColumn="0" w:lastColumn="0" w:oddVBand="0" w:evenVBand="0" w:oddHBand="0" w:evenHBand="0" w:firstRowFirstColumn="0" w:firstRowLastColumn="0" w:lastRowFirstColumn="0" w:lastRowLastColumn="0"/>
              <w:rPr>
                <w:b/>
                <w:bCs w:val="0"/>
              </w:rPr>
            </w:pPr>
            <w:r w:rsidRPr="009E22D6">
              <w:rPr>
                <w:b/>
                <w:bCs w:val="0"/>
              </w:rPr>
              <w:t>64</w:t>
            </w:r>
          </w:p>
        </w:tc>
      </w:tr>
    </w:tbl>
    <w:p w14:paraId="1E1D76DB" w14:textId="4F7EE171" w:rsidR="00B415FB" w:rsidRDefault="00B415FB" w:rsidP="0031535C"/>
    <w:p w14:paraId="519B906B" w14:textId="13280984" w:rsidR="00267F72" w:rsidRPr="00FE67BE" w:rsidRDefault="00267F72" w:rsidP="00C02DAF">
      <w:pPr>
        <w:keepNext/>
      </w:pPr>
      <w:r w:rsidRPr="00FE67BE">
        <w:t>The</w:t>
      </w:r>
      <w:r w:rsidR="00C02DAF">
        <w:t xml:space="preserve"> occupation</w:t>
      </w:r>
      <w:r w:rsidR="00A76F6D">
        <w:t xml:space="preserve">al career pathways </w:t>
      </w:r>
      <w:r w:rsidR="00C02DAF">
        <w:t xml:space="preserve">linked to </w:t>
      </w:r>
      <w:r w:rsidR="00E819EC">
        <w:t>these</w:t>
      </w:r>
      <w:r w:rsidR="00FE67BE" w:rsidRPr="00FE67BE">
        <w:t xml:space="preserve"> qualifications</w:t>
      </w:r>
      <w:r w:rsidR="00C02DAF">
        <w:t xml:space="preserve"> are set out in </w:t>
      </w:r>
      <w:r w:rsidR="00C02DAF">
        <w:fldChar w:fldCharType="begin"/>
      </w:r>
      <w:r w:rsidR="00C02DAF">
        <w:instrText xml:space="preserve"> REF _Ref20137545 \h </w:instrText>
      </w:r>
      <w:r w:rsidR="00C02DAF">
        <w:fldChar w:fldCharType="separate"/>
      </w:r>
      <w:r w:rsidR="00ED4593" w:rsidRPr="00FE67BE">
        <w:t xml:space="preserve">Table </w:t>
      </w:r>
      <w:r w:rsidR="00ED4593">
        <w:rPr>
          <w:noProof/>
        </w:rPr>
        <w:t>3</w:t>
      </w:r>
      <w:r w:rsidR="00C02DAF">
        <w:fldChar w:fldCharType="end"/>
      </w:r>
      <w:r w:rsidR="00C02DAF">
        <w:t>.</w:t>
      </w:r>
    </w:p>
    <w:p w14:paraId="12B284CE" w14:textId="6613D9D1" w:rsidR="00C74E25" w:rsidRPr="00FE67BE" w:rsidRDefault="00C74E25" w:rsidP="00C74E25">
      <w:pPr>
        <w:pStyle w:val="Caption"/>
      </w:pPr>
      <w:bookmarkStart w:id="157" w:name="_Ref20137545"/>
      <w:r w:rsidRPr="00FE67BE">
        <w:t xml:space="preserve">Table </w:t>
      </w:r>
      <w:r w:rsidRPr="00FE67BE">
        <w:fldChar w:fldCharType="begin"/>
      </w:r>
      <w:r w:rsidRPr="00FE67BE">
        <w:instrText xml:space="preserve"> SEQ Table \* ARABIC </w:instrText>
      </w:r>
      <w:r w:rsidRPr="00FE67BE">
        <w:fldChar w:fldCharType="separate"/>
      </w:r>
      <w:r w:rsidR="00ED4593">
        <w:rPr>
          <w:noProof/>
        </w:rPr>
        <w:t>3</w:t>
      </w:r>
      <w:r w:rsidRPr="00FE67BE">
        <w:fldChar w:fldCharType="end"/>
      </w:r>
      <w:bookmarkEnd w:id="157"/>
      <w:r w:rsidRPr="00FE67BE">
        <w:t>: Resource and Infrastructure Training Package – Occupation</w:t>
      </w:r>
      <w:r w:rsidR="00A76F6D">
        <w:t>al career pathways</w:t>
      </w:r>
      <w:r w:rsidRPr="00FE67BE">
        <w:rPr>
          <w:rStyle w:val="FootnoteReference"/>
        </w:rPr>
        <w:footnoteReference w:id="38"/>
      </w:r>
    </w:p>
    <w:tbl>
      <w:tblPr>
        <w:tblStyle w:val="ListTable4-Accent11"/>
        <w:tblW w:w="5000" w:type="pct"/>
        <w:tblLook w:val="04A0" w:firstRow="1" w:lastRow="0" w:firstColumn="1" w:lastColumn="0" w:noHBand="0" w:noVBand="1"/>
      </w:tblPr>
      <w:tblGrid>
        <w:gridCol w:w="4810"/>
        <w:gridCol w:w="4811"/>
      </w:tblGrid>
      <w:tr w:rsidR="00267F72" w:rsidRPr="00FE67BE" w14:paraId="70C736AE" w14:textId="2729CB61" w:rsidTr="00C02DA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500" w:type="pct"/>
          </w:tcPr>
          <w:p w14:paraId="501211E7" w14:textId="362670EC" w:rsidR="00267F72" w:rsidRPr="00FE67BE" w:rsidRDefault="00267F72" w:rsidP="00687B21">
            <w:pPr>
              <w:pStyle w:val="TableHeading"/>
            </w:pPr>
            <w:r w:rsidRPr="00FE67BE">
              <w:t>Qualifications</w:t>
            </w:r>
          </w:p>
        </w:tc>
        <w:tc>
          <w:tcPr>
            <w:tcW w:w="2500" w:type="pct"/>
          </w:tcPr>
          <w:p w14:paraId="096BFDE4" w14:textId="01033D4E" w:rsidR="00267F72" w:rsidRPr="00FE67BE" w:rsidRDefault="00267F72" w:rsidP="00687B21">
            <w:pPr>
              <w:pStyle w:val="TableHeading"/>
              <w:cnfStyle w:val="100000000000" w:firstRow="1" w:lastRow="0" w:firstColumn="0" w:lastColumn="0" w:oddVBand="0" w:evenVBand="0" w:oddHBand="0" w:evenHBand="0" w:firstRowFirstColumn="0" w:firstRowLastColumn="0" w:lastRowFirstColumn="0" w:lastRowLastColumn="0"/>
            </w:pPr>
            <w:r w:rsidRPr="00FE67BE">
              <w:t>Occupation</w:t>
            </w:r>
            <w:r w:rsidR="00A76F6D">
              <w:t>al Career Pathways</w:t>
            </w:r>
          </w:p>
        </w:tc>
      </w:tr>
      <w:tr w:rsidR="00267F72" w14:paraId="52D0FAC9" w14:textId="0EF7C968" w:rsidTr="00C02DAF">
        <w:trPr>
          <w:cnfStyle w:val="000000100000" w:firstRow="0" w:lastRow="0" w:firstColumn="0" w:lastColumn="0" w:oddVBand="0" w:evenVBand="0" w:oddHBand="1" w:evenHBand="0" w:firstRowFirstColumn="0" w:firstRowLastColumn="0" w:lastRowFirstColumn="0" w:lastRowLastColumn="0"/>
          <w:cantSplit/>
          <w:trHeight w:val="290"/>
        </w:trPr>
        <w:tc>
          <w:tcPr>
            <w:cnfStyle w:val="001000000000" w:firstRow="0" w:lastRow="0" w:firstColumn="1" w:lastColumn="0" w:oddVBand="0" w:evenVBand="0" w:oddHBand="0" w:evenHBand="0" w:firstRowFirstColumn="0" w:firstRowLastColumn="0" w:lastRowFirstColumn="0" w:lastRowLastColumn="0"/>
            <w:tcW w:w="2500" w:type="pct"/>
          </w:tcPr>
          <w:p w14:paraId="6D01DECC" w14:textId="10FC4D08" w:rsidR="00267F72" w:rsidRPr="00FE67BE" w:rsidRDefault="00267F72" w:rsidP="00267F72">
            <w:pPr>
              <w:pStyle w:val="TableText"/>
              <w:rPr>
                <w:b w:val="0"/>
                <w:bCs/>
              </w:rPr>
            </w:pPr>
            <w:r w:rsidRPr="00FE67BE">
              <w:rPr>
                <w:b w:val="0"/>
                <w:bCs/>
              </w:rPr>
              <w:t>Certificate II in Resources and Infrastructure Work Preparation</w:t>
            </w:r>
          </w:p>
        </w:tc>
        <w:tc>
          <w:tcPr>
            <w:tcW w:w="2500" w:type="pct"/>
          </w:tcPr>
          <w:p w14:paraId="12A942B6" w14:textId="74539C65" w:rsidR="00267F72" w:rsidRDefault="00E02B1E" w:rsidP="009F0C58">
            <w:pPr>
              <w:pStyle w:val="Tablelistbullet"/>
              <w:cnfStyle w:val="000000100000" w:firstRow="0" w:lastRow="0" w:firstColumn="0" w:lastColumn="0" w:oddVBand="0" w:evenVBand="0" w:oddHBand="1" w:evenHBand="0" w:firstRowFirstColumn="0" w:firstRowLastColumn="0" w:lastRowFirstColumn="0" w:lastRowLastColumn="0"/>
            </w:pPr>
            <w:r>
              <w:t>General Hand</w:t>
            </w:r>
          </w:p>
          <w:p w14:paraId="52F64963" w14:textId="76B75665" w:rsidR="00E02B1E" w:rsidRPr="00E02B1E" w:rsidRDefault="00E02B1E">
            <w:pPr>
              <w:pStyle w:val="Tablelistbullet"/>
              <w:cnfStyle w:val="000000100000" w:firstRow="0" w:lastRow="0" w:firstColumn="0" w:lastColumn="0" w:oddVBand="0" w:evenVBand="0" w:oddHBand="1" w:evenHBand="0" w:firstRowFirstColumn="0" w:firstRowLastColumn="0" w:lastRowFirstColumn="0" w:lastRowLastColumn="0"/>
            </w:pPr>
            <w:r>
              <w:t>Underground Mining Hand</w:t>
            </w:r>
          </w:p>
        </w:tc>
      </w:tr>
      <w:tr w:rsidR="00267F72" w14:paraId="74CA32BB" w14:textId="4D6A340E" w:rsidTr="00C02DAF">
        <w:trPr>
          <w:cantSplit/>
          <w:trHeight w:val="350"/>
        </w:trPr>
        <w:tc>
          <w:tcPr>
            <w:cnfStyle w:val="001000000000" w:firstRow="0" w:lastRow="0" w:firstColumn="1" w:lastColumn="0" w:oddVBand="0" w:evenVBand="0" w:oddHBand="0" w:evenHBand="0" w:firstRowFirstColumn="0" w:firstRowLastColumn="0" w:lastRowFirstColumn="0" w:lastRowLastColumn="0"/>
            <w:tcW w:w="2500" w:type="pct"/>
          </w:tcPr>
          <w:p w14:paraId="0A946B36" w14:textId="3A23E407" w:rsidR="00267F72" w:rsidRPr="00287A5B" w:rsidRDefault="00267F72" w:rsidP="00267F72">
            <w:pPr>
              <w:pStyle w:val="TableText"/>
              <w:rPr>
                <w:b w:val="0"/>
                <w:bCs/>
              </w:rPr>
            </w:pPr>
            <w:r w:rsidRPr="00287A5B">
              <w:rPr>
                <w:b w:val="0"/>
                <w:bCs/>
              </w:rPr>
              <w:t>Certificate II in Surface Extraction Operations</w:t>
            </w:r>
          </w:p>
        </w:tc>
        <w:tc>
          <w:tcPr>
            <w:tcW w:w="2500" w:type="pct"/>
          </w:tcPr>
          <w:p w14:paraId="7605C53A" w14:textId="76E22025" w:rsidR="00A76F6D" w:rsidRPr="00A76F6D" w:rsidRDefault="00A76F6D" w:rsidP="009E22D6">
            <w:pPr>
              <w:pStyle w:val="Tablelistbullet"/>
              <w:cnfStyle w:val="000000000000" w:firstRow="0" w:lastRow="0" w:firstColumn="0" w:lastColumn="0" w:oddVBand="0" w:evenVBand="0" w:oddHBand="0" w:evenHBand="0" w:firstRowFirstColumn="0" w:firstRowLastColumn="0" w:lastRowFirstColumn="0" w:lastRowLastColumn="0"/>
            </w:pPr>
            <w:r>
              <w:t xml:space="preserve">Coal </w:t>
            </w:r>
            <w:r w:rsidRPr="00A76F6D">
              <w:t>Preparation Plant Operator</w:t>
            </w:r>
          </w:p>
          <w:p w14:paraId="566C2BA5" w14:textId="3C6EB8BF" w:rsidR="00A76F6D" w:rsidRPr="00A76F6D" w:rsidRDefault="00A76F6D" w:rsidP="009E22D6">
            <w:pPr>
              <w:pStyle w:val="Tablelistbullet"/>
              <w:cnfStyle w:val="000000000000" w:firstRow="0" w:lastRow="0" w:firstColumn="0" w:lastColumn="0" w:oddVBand="0" w:evenVBand="0" w:oddHBand="0" w:evenHBand="0" w:firstRowFirstColumn="0" w:firstRowLastColumn="0" w:lastRowFirstColumn="0" w:lastRowLastColumn="0"/>
            </w:pPr>
            <w:r w:rsidRPr="00A76F6D">
              <w:t>Metal Processing Plant Technician</w:t>
            </w:r>
          </w:p>
          <w:p w14:paraId="0ED3303C" w14:textId="56800A81" w:rsidR="00A76F6D" w:rsidRPr="00A76F6D" w:rsidRDefault="00A76F6D" w:rsidP="009E22D6">
            <w:pPr>
              <w:pStyle w:val="Tablelistbullet"/>
              <w:cnfStyle w:val="000000000000" w:firstRow="0" w:lastRow="0" w:firstColumn="0" w:lastColumn="0" w:oddVBand="0" w:evenVBand="0" w:oddHBand="0" w:evenHBand="0" w:firstRowFirstColumn="0" w:firstRowLastColumn="0" w:lastRowFirstColumn="0" w:lastRowLastColumn="0"/>
            </w:pPr>
            <w:r w:rsidRPr="00A76F6D">
              <w:t>Quarry Plant Operator</w:t>
            </w:r>
          </w:p>
          <w:p w14:paraId="0C0303A0" w14:textId="31E35BC3" w:rsidR="00A76F6D" w:rsidRPr="00A76F6D" w:rsidRDefault="00A76F6D" w:rsidP="009E22D6">
            <w:pPr>
              <w:pStyle w:val="Tablelistbullet"/>
              <w:cnfStyle w:val="000000000000" w:firstRow="0" w:lastRow="0" w:firstColumn="0" w:lastColumn="0" w:oddVBand="0" w:evenVBand="0" w:oddHBand="0" w:evenHBand="0" w:firstRowFirstColumn="0" w:firstRowLastColumn="0" w:lastRowFirstColumn="0" w:lastRowLastColumn="0"/>
            </w:pPr>
            <w:r w:rsidRPr="00A76F6D">
              <w:t>Open Cut Coal Mining Operator</w:t>
            </w:r>
          </w:p>
          <w:p w14:paraId="7E5BD5CC" w14:textId="46A3CCB5" w:rsidR="00267F72" w:rsidRPr="00506196" w:rsidRDefault="00A76F6D">
            <w:pPr>
              <w:pStyle w:val="Tablelistbullet"/>
              <w:cnfStyle w:val="000000000000" w:firstRow="0" w:lastRow="0" w:firstColumn="0" w:lastColumn="0" w:oddVBand="0" w:evenVBand="0" w:oddHBand="0" w:evenHBand="0" w:firstRowFirstColumn="0" w:firstRowLastColumn="0" w:lastRowFirstColumn="0" w:lastRowLastColumn="0"/>
            </w:pPr>
            <w:r w:rsidRPr="00A76F6D">
              <w:t>Underground Coal Mine</w:t>
            </w:r>
            <w:r>
              <w:t xml:space="preserve"> Operator</w:t>
            </w:r>
          </w:p>
        </w:tc>
      </w:tr>
      <w:tr w:rsidR="00267F72" w14:paraId="730BBF5C" w14:textId="2425F5B6" w:rsidTr="00C02DAF">
        <w:trPr>
          <w:cnfStyle w:val="000000100000" w:firstRow="0" w:lastRow="0" w:firstColumn="0" w:lastColumn="0" w:oddVBand="0" w:evenVBand="0" w:oddHBand="1" w:evenHBand="0" w:firstRowFirstColumn="0" w:firstRowLastColumn="0" w:lastRowFirstColumn="0" w:lastRowLastColumn="0"/>
          <w:cantSplit/>
          <w:trHeight w:val="290"/>
        </w:trPr>
        <w:tc>
          <w:tcPr>
            <w:cnfStyle w:val="001000000000" w:firstRow="0" w:lastRow="0" w:firstColumn="1" w:lastColumn="0" w:oddVBand="0" w:evenVBand="0" w:oddHBand="0" w:evenHBand="0" w:firstRowFirstColumn="0" w:firstRowLastColumn="0" w:lastRowFirstColumn="0" w:lastRowLastColumn="0"/>
            <w:tcW w:w="2500" w:type="pct"/>
          </w:tcPr>
          <w:p w14:paraId="3D447808" w14:textId="0DEFBC42" w:rsidR="00267F72" w:rsidRPr="00287A5B" w:rsidRDefault="00267F72" w:rsidP="00267F72">
            <w:pPr>
              <w:pStyle w:val="TableText"/>
              <w:rPr>
                <w:b w:val="0"/>
                <w:bCs/>
              </w:rPr>
            </w:pPr>
            <w:r w:rsidRPr="00287A5B">
              <w:rPr>
                <w:b w:val="0"/>
                <w:bCs/>
              </w:rPr>
              <w:t>Certificate II in Underground Metalliferous Mining</w:t>
            </w:r>
          </w:p>
        </w:tc>
        <w:tc>
          <w:tcPr>
            <w:tcW w:w="2500" w:type="pct"/>
          </w:tcPr>
          <w:p w14:paraId="3977A4BC" w14:textId="77777777" w:rsidR="00A76F6D" w:rsidRDefault="00A76F6D" w:rsidP="00A76F6D">
            <w:pPr>
              <w:pStyle w:val="Tablelistbullet"/>
              <w:cnfStyle w:val="000000100000" w:firstRow="0" w:lastRow="0" w:firstColumn="0" w:lastColumn="0" w:oddVBand="0" w:evenVBand="0" w:oddHBand="1" w:evenHBand="0" w:firstRowFirstColumn="0" w:firstRowLastColumn="0" w:lastRowFirstColumn="0" w:lastRowLastColumn="0"/>
            </w:pPr>
            <w:r>
              <w:t>General Hand</w:t>
            </w:r>
          </w:p>
          <w:p w14:paraId="5F5011AB" w14:textId="14F11E4A" w:rsidR="00267F72" w:rsidRPr="00506196" w:rsidRDefault="00A76F6D" w:rsidP="00A76F6D">
            <w:pPr>
              <w:pStyle w:val="Tablelistbullet"/>
              <w:cnfStyle w:val="000000100000" w:firstRow="0" w:lastRow="0" w:firstColumn="0" w:lastColumn="0" w:oddVBand="0" w:evenVBand="0" w:oddHBand="1" w:evenHBand="0" w:firstRowFirstColumn="0" w:firstRowLastColumn="0" w:lastRowFirstColumn="0" w:lastRowLastColumn="0"/>
            </w:pPr>
            <w:r>
              <w:t>Underground Mining Hand</w:t>
            </w:r>
          </w:p>
        </w:tc>
      </w:tr>
      <w:tr w:rsidR="00267F72" w14:paraId="5CECF790" w14:textId="519C5F05" w:rsidTr="00C02DAF">
        <w:trPr>
          <w:cantSplit/>
          <w:trHeight w:val="290"/>
        </w:trPr>
        <w:tc>
          <w:tcPr>
            <w:cnfStyle w:val="001000000000" w:firstRow="0" w:lastRow="0" w:firstColumn="1" w:lastColumn="0" w:oddVBand="0" w:evenVBand="0" w:oddHBand="0" w:evenHBand="0" w:firstRowFirstColumn="0" w:firstRowLastColumn="0" w:lastRowFirstColumn="0" w:lastRowLastColumn="0"/>
            <w:tcW w:w="2500" w:type="pct"/>
          </w:tcPr>
          <w:p w14:paraId="198C87A5" w14:textId="01A69517" w:rsidR="00267F72" w:rsidRPr="00287A5B" w:rsidRDefault="00267F72" w:rsidP="00267F72">
            <w:pPr>
              <w:pStyle w:val="TableText"/>
              <w:rPr>
                <w:b w:val="0"/>
                <w:bCs/>
              </w:rPr>
            </w:pPr>
            <w:r w:rsidRPr="00287A5B">
              <w:rPr>
                <w:b w:val="0"/>
                <w:bCs/>
              </w:rPr>
              <w:t>Certificate II in Drilling Operations</w:t>
            </w:r>
          </w:p>
        </w:tc>
        <w:tc>
          <w:tcPr>
            <w:tcW w:w="2500" w:type="pct"/>
          </w:tcPr>
          <w:p w14:paraId="76F62A70" w14:textId="0123AAE5" w:rsidR="00267F72" w:rsidRPr="00506196" w:rsidRDefault="00A76F6D">
            <w:pPr>
              <w:pStyle w:val="Tablelistbullet"/>
              <w:cnfStyle w:val="000000000000" w:firstRow="0" w:lastRow="0" w:firstColumn="0" w:lastColumn="0" w:oddVBand="0" w:evenVBand="0" w:oddHBand="0" w:evenHBand="0" w:firstRowFirstColumn="0" w:firstRowLastColumn="0" w:lastRowFirstColumn="0" w:lastRowLastColumn="0"/>
            </w:pPr>
            <w:r w:rsidRPr="00A76F6D">
              <w:t>Driller's Assistant</w:t>
            </w:r>
          </w:p>
        </w:tc>
      </w:tr>
      <w:tr w:rsidR="00267F72" w14:paraId="01C10D64" w14:textId="5CC712E8" w:rsidTr="00C02DAF">
        <w:trPr>
          <w:cnfStyle w:val="000000100000" w:firstRow="0" w:lastRow="0" w:firstColumn="0" w:lastColumn="0" w:oddVBand="0" w:evenVBand="0" w:oddHBand="1" w:evenHBand="0" w:firstRowFirstColumn="0" w:firstRowLastColumn="0" w:lastRowFirstColumn="0" w:lastRowLastColumn="0"/>
          <w:cantSplit/>
          <w:trHeight w:val="350"/>
        </w:trPr>
        <w:tc>
          <w:tcPr>
            <w:cnfStyle w:val="001000000000" w:firstRow="0" w:lastRow="0" w:firstColumn="1" w:lastColumn="0" w:oddVBand="0" w:evenVBand="0" w:oddHBand="0" w:evenHBand="0" w:firstRowFirstColumn="0" w:firstRowLastColumn="0" w:lastRowFirstColumn="0" w:lastRowLastColumn="0"/>
            <w:tcW w:w="2500" w:type="pct"/>
          </w:tcPr>
          <w:p w14:paraId="126DBE4C" w14:textId="6EB24495" w:rsidR="00267F72" w:rsidRPr="00287A5B" w:rsidRDefault="00267F72" w:rsidP="00267F72">
            <w:pPr>
              <w:pStyle w:val="TableText"/>
              <w:rPr>
                <w:b w:val="0"/>
                <w:bCs/>
              </w:rPr>
            </w:pPr>
            <w:r w:rsidRPr="00287A5B">
              <w:rPr>
                <w:b w:val="0"/>
                <w:bCs/>
              </w:rPr>
              <w:t>Certificate III in Surface Extraction Operations</w:t>
            </w:r>
          </w:p>
        </w:tc>
        <w:tc>
          <w:tcPr>
            <w:tcW w:w="2500" w:type="pct"/>
          </w:tcPr>
          <w:p w14:paraId="28E48C48" w14:textId="1945E9C9" w:rsidR="00A76F6D" w:rsidRPr="00A76F6D" w:rsidRDefault="00A76F6D" w:rsidP="009E22D6">
            <w:pPr>
              <w:pStyle w:val="Tablelistbullet"/>
              <w:cnfStyle w:val="000000100000" w:firstRow="0" w:lastRow="0" w:firstColumn="0" w:lastColumn="0" w:oddVBand="0" w:evenVBand="0" w:oddHBand="1" w:evenHBand="0" w:firstRowFirstColumn="0" w:firstRowLastColumn="0" w:lastRowFirstColumn="0" w:lastRowLastColumn="0"/>
            </w:pPr>
            <w:r w:rsidRPr="00A76F6D">
              <w:t>Coal Processing &amp; Production Operator</w:t>
            </w:r>
          </w:p>
          <w:p w14:paraId="62E67906" w14:textId="436D81DB" w:rsidR="00A76F6D" w:rsidRPr="00A76F6D" w:rsidRDefault="00A76F6D" w:rsidP="009E22D6">
            <w:pPr>
              <w:pStyle w:val="Tablelistbullet"/>
              <w:cnfStyle w:val="000000100000" w:firstRow="0" w:lastRow="0" w:firstColumn="0" w:lastColumn="0" w:oddVBand="0" w:evenVBand="0" w:oddHBand="1" w:evenHBand="0" w:firstRowFirstColumn="0" w:firstRowLastColumn="0" w:lastRowFirstColumn="0" w:lastRowLastColumn="0"/>
            </w:pPr>
            <w:r w:rsidRPr="00A76F6D">
              <w:t>Mineral Processing Technician</w:t>
            </w:r>
          </w:p>
          <w:p w14:paraId="3EBDD756" w14:textId="5D9D4E4B" w:rsidR="00A76F6D" w:rsidRPr="00A76F6D" w:rsidRDefault="00A76F6D" w:rsidP="009E22D6">
            <w:pPr>
              <w:pStyle w:val="Tablelistbullet"/>
              <w:cnfStyle w:val="000000100000" w:firstRow="0" w:lastRow="0" w:firstColumn="0" w:lastColumn="0" w:oddVBand="0" w:evenVBand="0" w:oddHBand="1" w:evenHBand="0" w:firstRowFirstColumn="0" w:firstRowLastColumn="0" w:lastRowFirstColumn="0" w:lastRowLastColumn="0"/>
            </w:pPr>
            <w:r w:rsidRPr="00A76F6D">
              <w:t>Quarry Mobile Plant Operator</w:t>
            </w:r>
          </w:p>
          <w:p w14:paraId="5C2D30D0" w14:textId="029DBF18" w:rsidR="00267F72" w:rsidRPr="00506196" w:rsidRDefault="00A76F6D">
            <w:pPr>
              <w:pStyle w:val="Tablelistbullet"/>
              <w:cnfStyle w:val="000000100000" w:firstRow="0" w:lastRow="0" w:firstColumn="0" w:lastColumn="0" w:oddVBand="0" w:evenVBand="0" w:oddHBand="1" w:evenHBand="0" w:firstRowFirstColumn="0" w:firstRowLastColumn="0" w:lastRowFirstColumn="0" w:lastRowLastColumn="0"/>
            </w:pPr>
            <w:r w:rsidRPr="00A76F6D">
              <w:t>Surface Coal Operator</w:t>
            </w:r>
          </w:p>
        </w:tc>
      </w:tr>
      <w:tr w:rsidR="00E02B1E" w14:paraId="3918E94B" w14:textId="77777777" w:rsidTr="00C02DAF">
        <w:trPr>
          <w:cantSplit/>
          <w:trHeight w:val="350"/>
        </w:trPr>
        <w:tc>
          <w:tcPr>
            <w:cnfStyle w:val="001000000000" w:firstRow="0" w:lastRow="0" w:firstColumn="1" w:lastColumn="0" w:oddVBand="0" w:evenVBand="0" w:oddHBand="0" w:evenHBand="0" w:firstRowFirstColumn="0" w:firstRowLastColumn="0" w:lastRowFirstColumn="0" w:lastRowLastColumn="0"/>
            <w:tcW w:w="2500" w:type="pct"/>
          </w:tcPr>
          <w:p w14:paraId="19EE1AEE" w14:textId="370DF9B5" w:rsidR="00E02B1E" w:rsidRPr="009E22D6" w:rsidRDefault="00E02B1E" w:rsidP="00267F72">
            <w:pPr>
              <w:pStyle w:val="TableText"/>
              <w:rPr>
                <w:b w:val="0"/>
                <w:bCs/>
              </w:rPr>
            </w:pPr>
            <w:r w:rsidRPr="009E22D6">
              <w:rPr>
                <w:b w:val="0"/>
                <w:bCs/>
              </w:rPr>
              <w:t>Certificate III in Resource Processing</w:t>
            </w:r>
          </w:p>
        </w:tc>
        <w:tc>
          <w:tcPr>
            <w:tcW w:w="2500" w:type="pct"/>
          </w:tcPr>
          <w:p w14:paraId="072DA97B" w14:textId="77777777" w:rsidR="00E02B1E" w:rsidRDefault="00E02B1E" w:rsidP="009F0C58">
            <w:pPr>
              <w:pStyle w:val="Tablelistbullet"/>
              <w:cnfStyle w:val="000000000000" w:firstRow="0" w:lastRow="0" w:firstColumn="0" w:lastColumn="0" w:oddVBand="0" w:evenVBand="0" w:oddHBand="0" w:evenHBand="0" w:firstRowFirstColumn="0" w:firstRowLastColumn="0" w:lastRowFirstColumn="0" w:lastRowLastColumn="0"/>
            </w:pPr>
            <w:r>
              <w:t>Coal Processing and Production Operator</w:t>
            </w:r>
          </w:p>
          <w:p w14:paraId="5E71C86E" w14:textId="77777777" w:rsidR="00E02B1E" w:rsidRDefault="00E02B1E" w:rsidP="009E22D6">
            <w:pPr>
              <w:pStyle w:val="Tablelistbullet"/>
              <w:cnfStyle w:val="000000000000" w:firstRow="0" w:lastRow="0" w:firstColumn="0" w:lastColumn="0" w:oddVBand="0" w:evenVBand="0" w:oddHBand="0" w:evenHBand="0" w:firstRowFirstColumn="0" w:firstRowLastColumn="0" w:lastRowFirstColumn="0" w:lastRowLastColumn="0"/>
            </w:pPr>
            <w:r>
              <w:t>Mineral Processing Technician</w:t>
            </w:r>
          </w:p>
          <w:p w14:paraId="0869308A" w14:textId="77777777" w:rsidR="00E02B1E" w:rsidRDefault="00E02B1E" w:rsidP="009E22D6">
            <w:pPr>
              <w:pStyle w:val="Tablelistbullet"/>
              <w:cnfStyle w:val="000000000000" w:firstRow="0" w:lastRow="0" w:firstColumn="0" w:lastColumn="0" w:oddVBand="0" w:evenVBand="0" w:oddHBand="0" w:evenHBand="0" w:firstRowFirstColumn="0" w:firstRowLastColumn="0" w:lastRowFirstColumn="0" w:lastRowLastColumn="0"/>
            </w:pPr>
            <w:r>
              <w:t>Quarry Mobile Plant Operator</w:t>
            </w:r>
          </w:p>
          <w:p w14:paraId="5E8BED3B" w14:textId="1329B8E8" w:rsidR="00E02B1E" w:rsidRPr="00E02B1E" w:rsidRDefault="00E02B1E">
            <w:pPr>
              <w:pStyle w:val="Tablelistbullet"/>
              <w:cnfStyle w:val="000000000000" w:firstRow="0" w:lastRow="0" w:firstColumn="0" w:lastColumn="0" w:oddVBand="0" w:evenVBand="0" w:oddHBand="0" w:evenHBand="0" w:firstRowFirstColumn="0" w:firstRowLastColumn="0" w:lastRowFirstColumn="0" w:lastRowLastColumn="0"/>
            </w:pPr>
            <w:r>
              <w:t>Surface Coal Operator</w:t>
            </w:r>
          </w:p>
        </w:tc>
      </w:tr>
      <w:tr w:rsidR="00267F72" w14:paraId="62E1866B" w14:textId="4CB66FEE" w:rsidTr="00C02DAF">
        <w:trPr>
          <w:cnfStyle w:val="000000100000" w:firstRow="0" w:lastRow="0" w:firstColumn="0" w:lastColumn="0" w:oddVBand="0" w:evenVBand="0" w:oddHBand="1" w:evenHBand="0" w:firstRowFirstColumn="0" w:firstRowLastColumn="0" w:lastRowFirstColumn="0" w:lastRowLastColumn="0"/>
          <w:cantSplit/>
          <w:trHeight w:val="290"/>
        </w:trPr>
        <w:tc>
          <w:tcPr>
            <w:cnfStyle w:val="001000000000" w:firstRow="0" w:lastRow="0" w:firstColumn="1" w:lastColumn="0" w:oddVBand="0" w:evenVBand="0" w:oddHBand="0" w:evenHBand="0" w:firstRowFirstColumn="0" w:firstRowLastColumn="0" w:lastRowFirstColumn="0" w:lastRowLastColumn="0"/>
            <w:tcW w:w="2500" w:type="pct"/>
          </w:tcPr>
          <w:p w14:paraId="490EBF9B" w14:textId="47FDEEEE" w:rsidR="00267F72" w:rsidRPr="00287A5B" w:rsidRDefault="00267F72" w:rsidP="00267F72">
            <w:pPr>
              <w:pStyle w:val="TableText"/>
              <w:rPr>
                <w:b w:val="0"/>
                <w:bCs/>
              </w:rPr>
            </w:pPr>
            <w:r w:rsidRPr="00287A5B">
              <w:rPr>
                <w:b w:val="0"/>
                <w:bCs/>
              </w:rPr>
              <w:lastRenderedPageBreak/>
              <w:t>Certificate III in Underground Metalliferous Mining</w:t>
            </w:r>
          </w:p>
        </w:tc>
        <w:tc>
          <w:tcPr>
            <w:tcW w:w="2500" w:type="pct"/>
          </w:tcPr>
          <w:p w14:paraId="3AF20743" w14:textId="5E492AA2" w:rsidR="00A76F6D" w:rsidRPr="00A76F6D" w:rsidRDefault="00A76F6D" w:rsidP="009E22D6">
            <w:pPr>
              <w:pStyle w:val="Tablelistbullet"/>
              <w:cnfStyle w:val="000000100000" w:firstRow="0" w:lastRow="0" w:firstColumn="0" w:lastColumn="0" w:oddVBand="0" w:evenVBand="0" w:oddHBand="1" w:evenHBand="0" w:firstRowFirstColumn="0" w:firstRowLastColumn="0" w:lastRowFirstColumn="0" w:lastRowLastColumn="0"/>
            </w:pPr>
            <w:r w:rsidRPr="00A76F6D">
              <w:t>Mine Rescue Worker</w:t>
            </w:r>
          </w:p>
          <w:p w14:paraId="0DF0EB89" w14:textId="78B8BA0E" w:rsidR="00267F72" w:rsidRPr="00506196" w:rsidRDefault="00A76F6D">
            <w:pPr>
              <w:pStyle w:val="Tablelistbullet"/>
              <w:cnfStyle w:val="000000100000" w:firstRow="0" w:lastRow="0" w:firstColumn="0" w:lastColumn="0" w:oddVBand="0" w:evenVBand="0" w:oddHBand="1" w:evenHBand="0" w:firstRowFirstColumn="0" w:firstRowLastColumn="0" w:lastRowFirstColumn="0" w:lastRowLastColumn="0"/>
            </w:pPr>
            <w:r w:rsidRPr="00A76F6D">
              <w:t>Underground Metalliferous Production Operator</w:t>
            </w:r>
          </w:p>
        </w:tc>
      </w:tr>
      <w:tr w:rsidR="00267F72" w14:paraId="1BAAD021" w14:textId="4F092EED" w:rsidTr="00C02DAF">
        <w:trPr>
          <w:cantSplit/>
          <w:trHeight w:val="290"/>
        </w:trPr>
        <w:tc>
          <w:tcPr>
            <w:cnfStyle w:val="001000000000" w:firstRow="0" w:lastRow="0" w:firstColumn="1" w:lastColumn="0" w:oddVBand="0" w:evenVBand="0" w:oddHBand="0" w:evenHBand="0" w:firstRowFirstColumn="0" w:firstRowLastColumn="0" w:lastRowFirstColumn="0" w:lastRowLastColumn="0"/>
            <w:tcW w:w="2500" w:type="pct"/>
          </w:tcPr>
          <w:p w14:paraId="004BF81F" w14:textId="43574BC3" w:rsidR="00267F72" w:rsidRPr="00287A5B" w:rsidRDefault="00267F72" w:rsidP="00267F72">
            <w:pPr>
              <w:pStyle w:val="TableText"/>
              <w:rPr>
                <w:b w:val="0"/>
                <w:bCs/>
              </w:rPr>
            </w:pPr>
            <w:r w:rsidRPr="00287A5B">
              <w:rPr>
                <w:b w:val="0"/>
                <w:bCs/>
              </w:rPr>
              <w:t>Certificate III in Small Mining Operations</w:t>
            </w:r>
          </w:p>
        </w:tc>
        <w:tc>
          <w:tcPr>
            <w:tcW w:w="2500" w:type="pct"/>
          </w:tcPr>
          <w:p w14:paraId="3B51CC67" w14:textId="67B1662F" w:rsidR="00A76F6D" w:rsidRPr="00A76F6D" w:rsidRDefault="00A76F6D" w:rsidP="009E22D6">
            <w:pPr>
              <w:pStyle w:val="Tablelistbullet"/>
              <w:cnfStyle w:val="000000000000" w:firstRow="0" w:lastRow="0" w:firstColumn="0" w:lastColumn="0" w:oddVBand="0" w:evenVBand="0" w:oddHBand="0" w:evenHBand="0" w:firstRowFirstColumn="0" w:firstRowLastColumn="0" w:lastRowFirstColumn="0" w:lastRowLastColumn="0"/>
            </w:pPr>
            <w:r w:rsidRPr="00A76F6D">
              <w:t>Geological Technician</w:t>
            </w:r>
          </w:p>
          <w:p w14:paraId="2E5A1510" w14:textId="61C6B016" w:rsidR="00267F72" w:rsidRPr="00506196" w:rsidRDefault="00A76F6D">
            <w:pPr>
              <w:pStyle w:val="Tablelistbullet"/>
              <w:cnfStyle w:val="000000000000" w:firstRow="0" w:lastRow="0" w:firstColumn="0" w:lastColumn="0" w:oddVBand="0" w:evenVBand="0" w:oddHBand="0" w:evenHBand="0" w:firstRowFirstColumn="0" w:firstRowLastColumn="0" w:lastRowFirstColumn="0" w:lastRowLastColumn="0"/>
            </w:pPr>
            <w:r w:rsidRPr="00A76F6D">
              <w:t>Small Mine Operator (Underground)</w:t>
            </w:r>
          </w:p>
        </w:tc>
      </w:tr>
      <w:tr w:rsidR="00267F72" w14:paraId="544D094E" w14:textId="288295F1" w:rsidTr="009E22D6">
        <w:trPr>
          <w:cnfStyle w:val="000000100000" w:firstRow="0" w:lastRow="0" w:firstColumn="0" w:lastColumn="0" w:oddVBand="0" w:evenVBand="0" w:oddHBand="1" w:evenHBand="0" w:firstRowFirstColumn="0" w:firstRowLastColumn="0" w:lastRowFirstColumn="0" w:lastRowLastColumn="0"/>
          <w:cantSplit/>
          <w:trHeight w:val="218"/>
        </w:trPr>
        <w:tc>
          <w:tcPr>
            <w:cnfStyle w:val="001000000000" w:firstRow="0" w:lastRow="0" w:firstColumn="1" w:lastColumn="0" w:oddVBand="0" w:evenVBand="0" w:oddHBand="0" w:evenHBand="0" w:firstRowFirstColumn="0" w:firstRowLastColumn="0" w:lastRowFirstColumn="0" w:lastRowLastColumn="0"/>
            <w:tcW w:w="0" w:type="pct"/>
          </w:tcPr>
          <w:p w14:paraId="5AD1DE46" w14:textId="6DC50D3C" w:rsidR="00267F72" w:rsidRPr="00287A5B" w:rsidRDefault="00267F72" w:rsidP="00267F72">
            <w:pPr>
              <w:pStyle w:val="TableText"/>
              <w:rPr>
                <w:b w:val="0"/>
                <w:bCs/>
              </w:rPr>
            </w:pPr>
            <w:r w:rsidRPr="00287A5B">
              <w:rPr>
                <w:b w:val="0"/>
                <w:bCs/>
              </w:rPr>
              <w:t>Certificate III in Drilling Operations</w:t>
            </w:r>
          </w:p>
        </w:tc>
        <w:tc>
          <w:tcPr>
            <w:tcW w:w="0" w:type="pct"/>
          </w:tcPr>
          <w:p w14:paraId="689AEEC8" w14:textId="2C636D75" w:rsidR="00267F72" w:rsidRDefault="00A76F6D" w:rsidP="009F0C58">
            <w:pPr>
              <w:pStyle w:val="Tablelistbullet"/>
              <w:cnfStyle w:val="000000100000" w:firstRow="0" w:lastRow="0" w:firstColumn="0" w:lastColumn="0" w:oddVBand="0" w:evenVBand="0" w:oddHBand="1" w:evenHBand="0" w:firstRowFirstColumn="0" w:firstRowLastColumn="0" w:lastRowFirstColumn="0" w:lastRowLastColumn="0"/>
            </w:pPr>
            <w:r>
              <w:t>Blast Hole Driller</w:t>
            </w:r>
          </w:p>
          <w:p w14:paraId="5B3269BE" w14:textId="77777777" w:rsidR="00A76F6D" w:rsidRDefault="00A76F6D" w:rsidP="009E22D6">
            <w:pPr>
              <w:pStyle w:val="Tablelistbullet"/>
              <w:cnfStyle w:val="000000100000" w:firstRow="0" w:lastRow="0" w:firstColumn="0" w:lastColumn="0" w:oddVBand="0" w:evenVBand="0" w:oddHBand="1" w:evenHBand="0" w:firstRowFirstColumn="0" w:firstRowLastColumn="0" w:lastRowFirstColumn="0" w:lastRowLastColumn="0"/>
            </w:pPr>
            <w:r>
              <w:t>Environmental Driller</w:t>
            </w:r>
          </w:p>
          <w:p w14:paraId="751828BA" w14:textId="77777777" w:rsidR="00A76F6D" w:rsidRDefault="00A76F6D" w:rsidP="009E22D6">
            <w:pPr>
              <w:pStyle w:val="Tablelistbullet"/>
              <w:cnfStyle w:val="000000100000" w:firstRow="0" w:lastRow="0" w:firstColumn="0" w:lastColumn="0" w:oddVBand="0" w:evenVBand="0" w:oddHBand="1" w:evenHBand="0" w:firstRowFirstColumn="0" w:firstRowLastColumn="0" w:lastRowFirstColumn="0" w:lastRowLastColumn="0"/>
            </w:pPr>
            <w:r>
              <w:t>Geotechnical Driller</w:t>
            </w:r>
          </w:p>
          <w:p w14:paraId="3725F38E" w14:textId="77777777" w:rsidR="00A76F6D" w:rsidRDefault="00A76F6D" w:rsidP="009E22D6">
            <w:pPr>
              <w:pStyle w:val="Tablelistbullet"/>
              <w:cnfStyle w:val="000000100000" w:firstRow="0" w:lastRow="0" w:firstColumn="0" w:lastColumn="0" w:oddVBand="0" w:evenVBand="0" w:oddHBand="1" w:evenHBand="0" w:firstRowFirstColumn="0" w:firstRowLastColumn="0" w:lastRowFirstColumn="0" w:lastRowLastColumn="0"/>
            </w:pPr>
            <w:r>
              <w:t>Mineral Exploration Driller</w:t>
            </w:r>
          </w:p>
          <w:p w14:paraId="34BEFCBE" w14:textId="58E2FC47" w:rsidR="00A76F6D" w:rsidRPr="00A76F6D" w:rsidRDefault="00A76F6D">
            <w:pPr>
              <w:pStyle w:val="Tablelistbullet"/>
              <w:cnfStyle w:val="000000100000" w:firstRow="0" w:lastRow="0" w:firstColumn="0" w:lastColumn="0" w:oddVBand="0" w:evenVBand="0" w:oddHBand="1" w:evenHBand="0" w:firstRowFirstColumn="0" w:firstRowLastColumn="0" w:lastRowFirstColumn="0" w:lastRowLastColumn="0"/>
            </w:pPr>
            <w:r>
              <w:t>Mineral Production Driller</w:t>
            </w:r>
          </w:p>
        </w:tc>
      </w:tr>
    </w:tbl>
    <w:p w14:paraId="22FB247C" w14:textId="16BA20CB" w:rsidR="00267F72" w:rsidRDefault="00267F72" w:rsidP="0031535C"/>
    <w:p w14:paraId="7D88D77F" w14:textId="4C7EA850" w:rsidR="00E93121" w:rsidRPr="00A24FF5" w:rsidRDefault="009E22D6" w:rsidP="00E93121">
      <w:pPr>
        <w:pStyle w:val="Heading3"/>
      </w:pPr>
      <w:bookmarkStart w:id="158" w:name="_Toc23836333"/>
      <w:r>
        <w:t xml:space="preserve">Training </w:t>
      </w:r>
      <w:r w:rsidR="00E93121" w:rsidRPr="00A24FF5">
        <w:t>Delivery in Tasmania</w:t>
      </w:r>
      <w:bookmarkEnd w:id="158"/>
    </w:p>
    <w:p w14:paraId="7B4ABAA8" w14:textId="6FE440F7" w:rsidR="00E93121" w:rsidRPr="00A24FF5" w:rsidRDefault="00E93121" w:rsidP="00E93121">
      <w:r w:rsidRPr="00A24FF5">
        <w:t xml:space="preserve">The following RII </w:t>
      </w:r>
      <w:r w:rsidR="003D513A" w:rsidRPr="00A24FF5">
        <w:t xml:space="preserve">Training Package </w:t>
      </w:r>
      <w:r w:rsidRPr="00A24FF5">
        <w:t>qualifications are delivered by Tasmanian training organisations:</w:t>
      </w:r>
      <w:r w:rsidRPr="00A24FF5">
        <w:rPr>
          <w:rStyle w:val="FootnoteReference"/>
        </w:rPr>
        <w:footnoteReference w:id="39"/>
      </w:r>
    </w:p>
    <w:p w14:paraId="1C190086" w14:textId="229D2956" w:rsidR="00E93121" w:rsidRPr="00A24FF5" w:rsidRDefault="00E93121" w:rsidP="00E93121">
      <w:pPr>
        <w:pStyle w:val="ListBullet"/>
      </w:pPr>
      <w:r w:rsidRPr="00A24FF5">
        <w:t>Certificate II in Underground Metalliferous Mining – TasTAFE</w:t>
      </w:r>
    </w:p>
    <w:p w14:paraId="0D548B6E" w14:textId="2A6B1611" w:rsidR="00E93121" w:rsidRPr="00A24FF5" w:rsidRDefault="00E93121" w:rsidP="00E93121">
      <w:pPr>
        <w:pStyle w:val="ListBullet"/>
      </w:pPr>
      <w:r w:rsidRPr="00A24FF5">
        <w:t>Certificate III in Resource Processing – TasTAFE</w:t>
      </w:r>
      <w:r w:rsidR="00893165">
        <w:t xml:space="preserve"> and Transtegic (Triple 0 Solutions)</w:t>
      </w:r>
    </w:p>
    <w:p w14:paraId="06472323" w14:textId="0D227F58" w:rsidR="00E93121" w:rsidRPr="00A24FF5" w:rsidRDefault="00E93121" w:rsidP="00E93121">
      <w:pPr>
        <w:pStyle w:val="ListBullet"/>
      </w:pPr>
      <w:r w:rsidRPr="00A24FF5">
        <w:t>Certificate III in Underground Metalliferous Mining – TasTAFE</w:t>
      </w:r>
    </w:p>
    <w:p w14:paraId="5E2EBF14" w14:textId="24586A40" w:rsidR="00893165" w:rsidRDefault="00893165" w:rsidP="00E93121">
      <w:pPr>
        <w:pStyle w:val="ListBullet"/>
      </w:pPr>
      <w:r>
        <w:t>Certificate III in Drilling Operations – Transtegic (Triple 0 Solutions)</w:t>
      </w:r>
    </w:p>
    <w:p w14:paraId="7419B9F4" w14:textId="471E6839" w:rsidR="00893165" w:rsidRDefault="00E93121" w:rsidP="00893165">
      <w:pPr>
        <w:pStyle w:val="ListBullet"/>
      </w:pPr>
      <w:r w:rsidRPr="00A24FF5">
        <w:t>Certificate III in Surface Extraction Operations – RTV Training</w:t>
      </w:r>
      <w:r w:rsidR="00893165">
        <w:t xml:space="preserve"> and Transtegic (Triple 0 Solutions)</w:t>
      </w:r>
    </w:p>
    <w:p w14:paraId="233F12D8" w14:textId="6BB957BA" w:rsidR="00893165" w:rsidRPr="00A24FF5" w:rsidRDefault="00893165" w:rsidP="00893165">
      <w:pPr>
        <w:pStyle w:val="ListBullet"/>
      </w:pPr>
      <w:r>
        <w:t xml:space="preserve">Certificate IV in Surface Extraction Operations </w:t>
      </w:r>
      <w:r w:rsidRPr="00A24FF5">
        <w:t>– RTV Training</w:t>
      </w:r>
    </w:p>
    <w:p w14:paraId="0A173207" w14:textId="7F7C0F49" w:rsidR="00E93121" w:rsidRPr="00E93121" w:rsidRDefault="00E93121" w:rsidP="00E93121">
      <w:pPr>
        <w:pStyle w:val="ListBullet"/>
      </w:pPr>
      <w:r w:rsidRPr="00A24FF5">
        <w:t>Diploma of Surface Operations Management – RTV Training</w:t>
      </w:r>
      <w:r w:rsidR="003D513A" w:rsidRPr="00A24FF5">
        <w:t>.</w:t>
      </w:r>
    </w:p>
    <w:p w14:paraId="412765B5" w14:textId="77777777" w:rsidR="003D513A" w:rsidRDefault="003D513A">
      <w:pPr>
        <w:spacing w:before="0" w:after="160" w:line="259" w:lineRule="auto"/>
        <w:rPr>
          <w:rFonts w:eastAsia="Times New Roman"/>
          <w:b/>
          <w:kern w:val="32"/>
          <w:sz w:val="36"/>
          <w:szCs w:val="36"/>
        </w:rPr>
      </w:pPr>
      <w:bookmarkStart w:id="159" w:name="_Drivers_of_Change"/>
      <w:bookmarkEnd w:id="159"/>
      <w:r>
        <w:br w:type="page"/>
      </w:r>
    </w:p>
    <w:p w14:paraId="4C27CD96" w14:textId="1E3A156F" w:rsidR="001F40C9" w:rsidRDefault="009E22D6">
      <w:pPr>
        <w:pStyle w:val="Heading1"/>
      </w:pPr>
      <w:bookmarkStart w:id="160" w:name="_Toc23836334"/>
      <w:r>
        <w:lastRenderedPageBreak/>
        <w:t xml:space="preserve">The </w:t>
      </w:r>
      <w:r w:rsidR="00CB74BD">
        <w:t>Workforce Issues</w:t>
      </w:r>
      <w:bookmarkEnd w:id="160"/>
    </w:p>
    <w:p w14:paraId="0C537047" w14:textId="54A7AFD6" w:rsidR="002E3A03" w:rsidRDefault="00787457" w:rsidP="00A24FF5">
      <w:r>
        <w:t>Mining companies</w:t>
      </w:r>
      <w:r w:rsidR="007450FA">
        <w:t xml:space="preserve"> were asked via online survey to rate </w:t>
      </w:r>
      <w:r w:rsidR="002E3A03">
        <w:t xml:space="preserve">how challenging their organisation found both these and other </w:t>
      </w:r>
      <w:r w:rsidR="00A24FF5">
        <w:t xml:space="preserve">potential </w:t>
      </w:r>
      <w:r w:rsidR="002E3A03">
        <w:t>workforce issues.</w:t>
      </w:r>
    </w:p>
    <w:p w14:paraId="1D784C7E" w14:textId="495768D2" w:rsidR="00FE67BE" w:rsidRDefault="00FE67BE" w:rsidP="00FE67BE">
      <w:pPr>
        <w:pStyle w:val="Caption"/>
      </w:pPr>
      <w:r>
        <w:t xml:space="preserve">Figure </w:t>
      </w:r>
      <w:r>
        <w:fldChar w:fldCharType="begin"/>
      </w:r>
      <w:r>
        <w:instrText xml:space="preserve"> SEQ Figure \* ARABIC </w:instrText>
      </w:r>
      <w:r>
        <w:fldChar w:fldCharType="separate"/>
      </w:r>
      <w:r w:rsidR="00ED4593">
        <w:rPr>
          <w:noProof/>
        </w:rPr>
        <w:t>16</w:t>
      </w:r>
      <w:r>
        <w:fldChar w:fldCharType="end"/>
      </w:r>
      <w:r>
        <w:t>: Challenge of workforce development issues</w:t>
      </w:r>
    </w:p>
    <w:p w14:paraId="2B1B35AC" w14:textId="77777777" w:rsidR="00FE67BE" w:rsidRDefault="00FE67BE" w:rsidP="00FE67BE">
      <w:r>
        <w:rPr>
          <w:noProof/>
        </w:rPr>
        <w:drawing>
          <wp:inline distT="0" distB="0" distL="0" distR="0" wp14:anchorId="4DE6CE4B" wp14:editId="3AED5CAE">
            <wp:extent cx="5581650" cy="3828377"/>
            <wp:effectExtent l="0" t="0" r="0" b="1270"/>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08561" cy="3846835"/>
                    </a:xfrm>
                    <a:prstGeom prst="rect">
                      <a:avLst/>
                    </a:prstGeom>
                    <a:noFill/>
                  </pic:spPr>
                </pic:pic>
              </a:graphicData>
            </a:graphic>
          </wp:inline>
        </w:drawing>
      </w:r>
    </w:p>
    <w:p w14:paraId="3C3A23B3" w14:textId="77777777" w:rsidR="00FE67BE" w:rsidRDefault="00FE67BE" w:rsidP="00A24FF5"/>
    <w:p w14:paraId="375C4EB2" w14:textId="33BA0CBE" w:rsidR="00436996" w:rsidRDefault="00436996" w:rsidP="00436996">
      <w:r>
        <w:t xml:space="preserve">By giving each ‘Somewhat challenging’ response a value of 1 and each ‘Very challenging’ response a value of 2, the overall ranking to these </w:t>
      </w:r>
      <w:r w:rsidR="00FE67BE">
        <w:t xml:space="preserve">workforce </w:t>
      </w:r>
      <w:r>
        <w:t>issues</w:t>
      </w:r>
      <w:r w:rsidR="00FE67BE">
        <w:t xml:space="preserve"> from the survey </w:t>
      </w:r>
      <w:r>
        <w:t>is:</w:t>
      </w:r>
    </w:p>
    <w:p w14:paraId="20B40942" w14:textId="2BB4D183" w:rsidR="00436996" w:rsidRPr="00424B90" w:rsidRDefault="00424B90" w:rsidP="00093C5F">
      <w:pPr>
        <w:pStyle w:val="ListNumber"/>
        <w:numPr>
          <w:ilvl w:val="0"/>
          <w:numId w:val="45"/>
        </w:numPr>
        <w:ind w:hanging="502"/>
      </w:pPr>
      <w:bookmarkStart w:id="161" w:name="_Hlk20139416"/>
      <w:r w:rsidRPr="00424B90">
        <w:t>Recruiting new workforce entrants</w:t>
      </w:r>
    </w:p>
    <w:p w14:paraId="52D662CF" w14:textId="2496E12D" w:rsidR="00424B90" w:rsidRDefault="00424B90" w:rsidP="00280531">
      <w:pPr>
        <w:pStyle w:val="ListNumber"/>
      </w:pPr>
      <w:r w:rsidRPr="00424B90">
        <w:t xml:space="preserve">An </w:t>
      </w:r>
      <w:r>
        <w:t>ageing workforce</w:t>
      </w:r>
    </w:p>
    <w:p w14:paraId="4B494B25" w14:textId="55C76A5E" w:rsidR="00424B90" w:rsidRDefault="00424B90" w:rsidP="00280531">
      <w:pPr>
        <w:pStyle w:val="ListNumber"/>
      </w:pPr>
      <w:r>
        <w:t>Low workforce literacy and numeracy skills</w:t>
      </w:r>
    </w:p>
    <w:p w14:paraId="5E486F70" w14:textId="7E192743" w:rsidR="00424B90" w:rsidRDefault="00424B90" w:rsidP="00280531">
      <w:pPr>
        <w:pStyle w:val="ListNumber"/>
      </w:pPr>
      <w:r w:rsidRPr="00424B90">
        <w:t>Accessing training that fits your business model</w:t>
      </w:r>
    </w:p>
    <w:p w14:paraId="26042728" w14:textId="59B38C11" w:rsidR="00424B90" w:rsidRDefault="00424B90" w:rsidP="00280531">
      <w:pPr>
        <w:pStyle w:val="ListNumber"/>
      </w:pPr>
      <w:r w:rsidRPr="00424B90">
        <w:t>Retaining corporate knowledge</w:t>
      </w:r>
    </w:p>
    <w:p w14:paraId="58113D25" w14:textId="13675602" w:rsidR="00424B90" w:rsidRDefault="00424B90" w:rsidP="00280531">
      <w:pPr>
        <w:pStyle w:val="ListNumber"/>
      </w:pPr>
      <w:r w:rsidRPr="00424B90">
        <w:t>Attracting workers from outside the region</w:t>
      </w:r>
    </w:p>
    <w:p w14:paraId="7E5B4850" w14:textId="28CF152C" w:rsidR="00424B90" w:rsidRDefault="00424B90" w:rsidP="00280531">
      <w:pPr>
        <w:pStyle w:val="ListNumber"/>
      </w:pPr>
      <w:r w:rsidRPr="00424B90">
        <w:t>Meeting workforce compliance requirements</w:t>
      </w:r>
    </w:p>
    <w:p w14:paraId="2B6BFFCB" w14:textId="605FDCA7" w:rsidR="00424B90" w:rsidRDefault="00424B90" w:rsidP="00280531">
      <w:pPr>
        <w:pStyle w:val="ListNumber"/>
      </w:pPr>
      <w:r w:rsidRPr="00424B90">
        <w:t>Partnering with training providers</w:t>
      </w:r>
    </w:p>
    <w:p w14:paraId="58A0CD54" w14:textId="67EA93EF" w:rsidR="00424B90" w:rsidRDefault="00424B90" w:rsidP="00280531">
      <w:pPr>
        <w:pStyle w:val="ListNumber"/>
      </w:pPr>
      <w:r w:rsidRPr="00424B90">
        <w:t>Filling vacancies from the existing workforce</w:t>
      </w:r>
    </w:p>
    <w:p w14:paraId="2D3A1F87" w14:textId="039AA8A3" w:rsidR="00424B90" w:rsidRDefault="00424B90" w:rsidP="00280531">
      <w:pPr>
        <w:pStyle w:val="ListNumber"/>
      </w:pPr>
      <w:r w:rsidRPr="00424B90">
        <w:t>Managing digital disruption</w:t>
      </w:r>
    </w:p>
    <w:p w14:paraId="5F4439B3" w14:textId="23D09B2C" w:rsidR="00424B90" w:rsidRDefault="00424B90" w:rsidP="00280531">
      <w:pPr>
        <w:pStyle w:val="ListNumber"/>
      </w:pPr>
      <w:r w:rsidRPr="00424B90">
        <w:t>Retaining new entrants</w:t>
      </w:r>
    </w:p>
    <w:p w14:paraId="14DDAA93" w14:textId="2386F4FD" w:rsidR="00424B90" w:rsidRDefault="00424B90" w:rsidP="00280531">
      <w:pPr>
        <w:pStyle w:val="ListNumber"/>
      </w:pPr>
      <w:r w:rsidRPr="00424B90">
        <w:t>Retaining experienced workers</w:t>
      </w:r>
    </w:p>
    <w:p w14:paraId="0B7141FD" w14:textId="038791B8" w:rsidR="00424B90" w:rsidRPr="00424B90" w:rsidRDefault="00424B90" w:rsidP="00280531">
      <w:pPr>
        <w:pStyle w:val="ListNumber"/>
      </w:pPr>
      <w:r w:rsidRPr="00424B90">
        <w:t>Maintaining workforce wellness</w:t>
      </w:r>
      <w:r w:rsidR="00FE67BE">
        <w:t>.</w:t>
      </w:r>
      <w:bookmarkEnd w:id="161"/>
    </w:p>
    <w:p w14:paraId="4AFAFDE3" w14:textId="092AC57A" w:rsidR="00424B90" w:rsidRDefault="009E22D6" w:rsidP="004539C6">
      <w:pPr>
        <w:pStyle w:val="Heading2"/>
        <w:keepNext/>
      </w:pPr>
      <w:bookmarkStart w:id="162" w:name="_Toc23836335"/>
      <w:r>
        <w:lastRenderedPageBreak/>
        <w:t>Building Workforce Capability</w:t>
      </w:r>
      <w:bookmarkEnd w:id="162"/>
    </w:p>
    <w:p w14:paraId="08EEBEFC" w14:textId="3F1D2D2D" w:rsidR="00424B90" w:rsidRDefault="00424B90" w:rsidP="004539C6">
      <w:pPr>
        <w:keepNext/>
      </w:pPr>
      <w:r>
        <w:t xml:space="preserve">Survey respondents were asked </w:t>
      </w:r>
      <w:r w:rsidR="00FB61B5">
        <w:t>what difficulties they had when attempting to meet the following skill requirements for their organisation:</w:t>
      </w:r>
    </w:p>
    <w:p w14:paraId="5D5B002C" w14:textId="5F9D796D" w:rsidR="00FB61B5" w:rsidRDefault="00FB61B5" w:rsidP="00280531">
      <w:pPr>
        <w:pStyle w:val="ListBullet"/>
      </w:pPr>
      <w:r>
        <w:t>Leadership</w:t>
      </w:r>
    </w:p>
    <w:p w14:paraId="37483A64" w14:textId="1F0A7C1C" w:rsidR="00FB61B5" w:rsidRDefault="00FB61B5" w:rsidP="00280531">
      <w:pPr>
        <w:pStyle w:val="ListBullet"/>
      </w:pPr>
      <w:r>
        <w:t>Management</w:t>
      </w:r>
    </w:p>
    <w:p w14:paraId="14CCB980" w14:textId="7C403050" w:rsidR="00FB61B5" w:rsidRDefault="00FB61B5" w:rsidP="00280531">
      <w:pPr>
        <w:pStyle w:val="ListBullet"/>
      </w:pPr>
      <w:r>
        <w:t>Marketing</w:t>
      </w:r>
    </w:p>
    <w:p w14:paraId="458A5CDB" w14:textId="659B278A" w:rsidR="00FB61B5" w:rsidRDefault="00FB61B5" w:rsidP="00280531">
      <w:pPr>
        <w:pStyle w:val="ListBullet"/>
      </w:pPr>
      <w:r>
        <w:t>Technical mining</w:t>
      </w:r>
    </w:p>
    <w:p w14:paraId="0C48CCFA" w14:textId="098BBB97" w:rsidR="00FB61B5" w:rsidRDefault="00FB61B5" w:rsidP="00280531">
      <w:pPr>
        <w:pStyle w:val="ListBullet"/>
      </w:pPr>
      <w:r>
        <w:t>Technical trade</w:t>
      </w:r>
    </w:p>
    <w:p w14:paraId="50A850AB" w14:textId="5DF2239D" w:rsidR="00FB61B5" w:rsidRDefault="00FB61B5" w:rsidP="00280531">
      <w:pPr>
        <w:pStyle w:val="ListBullet"/>
      </w:pPr>
      <w:r>
        <w:t>Digital / technology.</w:t>
      </w:r>
    </w:p>
    <w:p w14:paraId="6DFBB14A" w14:textId="756FB245" w:rsidR="00FB61B5" w:rsidRDefault="00FB61B5" w:rsidP="00FB61B5">
      <w:r>
        <w:t>The skills that respondents, in general, found most difficult to meet were leadership, management and technical mining skills.  The top three reasons for that these skills were difficult to meet were:</w:t>
      </w:r>
    </w:p>
    <w:p w14:paraId="59170A7C" w14:textId="5AEDADEB" w:rsidR="00FB61B5" w:rsidRDefault="00FB61B5" w:rsidP="00280531">
      <w:pPr>
        <w:pStyle w:val="ListBullet"/>
      </w:pPr>
      <w:r>
        <w:t>Accessing appropriate training</w:t>
      </w:r>
    </w:p>
    <w:p w14:paraId="6B36081B" w14:textId="35B2EF31" w:rsidR="00FB61B5" w:rsidRDefault="00FB61B5" w:rsidP="00280531">
      <w:pPr>
        <w:pStyle w:val="ListBullet"/>
      </w:pPr>
      <w:r>
        <w:t>Identifying suitable training</w:t>
      </w:r>
    </w:p>
    <w:p w14:paraId="2C8EF654" w14:textId="2FDD7584" w:rsidR="00FB61B5" w:rsidRPr="00424B90" w:rsidRDefault="00FB61B5" w:rsidP="00280531">
      <w:pPr>
        <w:pStyle w:val="ListBullet"/>
      </w:pPr>
      <w:r>
        <w:t>Releasing employees to undertake training.</w:t>
      </w:r>
    </w:p>
    <w:p w14:paraId="315CAC1A" w14:textId="047A0988" w:rsidR="00424B90" w:rsidRDefault="00424B90" w:rsidP="00424B90">
      <w:pPr>
        <w:pStyle w:val="Caption"/>
      </w:pPr>
      <w:r>
        <w:t xml:space="preserve">Figure </w:t>
      </w:r>
      <w:r>
        <w:fldChar w:fldCharType="begin"/>
      </w:r>
      <w:r>
        <w:instrText xml:space="preserve"> SEQ Figure \* ARABIC </w:instrText>
      </w:r>
      <w:r>
        <w:fldChar w:fldCharType="separate"/>
      </w:r>
      <w:r w:rsidR="00ED4593">
        <w:rPr>
          <w:noProof/>
        </w:rPr>
        <w:t>17</w:t>
      </w:r>
      <w:r>
        <w:fldChar w:fldCharType="end"/>
      </w:r>
      <w:r>
        <w:t>: Difficulties in meeting skill needs</w:t>
      </w:r>
    </w:p>
    <w:p w14:paraId="20D5A1F9" w14:textId="4C038650" w:rsidR="00424B90" w:rsidRDefault="004539C6" w:rsidP="002E3A03">
      <w:r>
        <w:rPr>
          <w:noProof/>
        </w:rPr>
        <w:drawing>
          <wp:inline distT="0" distB="0" distL="0" distR="0" wp14:anchorId="16C1E0F5" wp14:editId="7F8F1180">
            <wp:extent cx="5753100" cy="3581667"/>
            <wp:effectExtent l="0" t="0" r="0" b="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65236" cy="3589223"/>
                    </a:xfrm>
                    <a:prstGeom prst="rect">
                      <a:avLst/>
                    </a:prstGeom>
                    <a:noFill/>
                  </pic:spPr>
                </pic:pic>
              </a:graphicData>
            </a:graphic>
          </wp:inline>
        </w:drawing>
      </w:r>
    </w:p>
    <w:p w14:paraId="01618562" w14:textId="77777777" w:rsidR="00424B90" w:rsidRPr="002A161F" w:rsidRDefault="00424B90" w:rsidP="002E3A03"/>
    <w:p w14:paraId="54396677" w14:textId="2DF0E1BF" w:rsidR="00617E9D" w:rsidRDefault="00777E71" w:rsidP="00CB74BD">
      <w:pPr>
        <w:pStyle w:val="Heading2"/>
      </w:pPr>
      <w:bookmarkStart w:id="163" w:name="_Toc23836336"/>
      <w:r>
        <w:t>Recruit</w:t>
      </w:r>
      <w:r w:rsidR="009E22D6">
        <w:t>ing</w:t>
      </w:r>
      <w:r>
        <w:t xml:space="preserve"> and Ret</w:t>
      </w:r>
      <w:r w:rsidR="009E22D6">
        <w:t>aining the Workforce</w:t>
      </w:r>
      <w:bookmarkEnd w:id="163"/>
    </w:p>
    <w:p w14:paraId="1AB29EFC" w14:textId="1CE9D21B" w:rsidR="00777E71" w:rsidRDefault="00777E71" w:rsidP="00777E71">
      <w:r>
        <w:t>The survey asked respondents to indicate how difficult it was to both fill vacancies and retain their current workforce.</w:t>
      </w:r>
    </w:p>
    <w:p w14:paraId="512E1D24" w14:textId="472A1FC2" w:rsidR="00777E71" w:rsidRDefault="00B6437C" w:rsidP="00777E71">
      <w:bookmarkStart w:id="164" w:name="_Hlk20139346"/>
      <w:r>
        <w:t>Respondents considered that Managers, Professionals, and Technicians and Trades Workers the hardest vacancies to fill.</w:t>
      </w:r>
    </w:p>
    <w:bookmarkEnd w:id="164"/>
    <w:p w14:paraId="02AC508C" w14:textId="27CB09BC" w:rsidR="00777E71" w:rsidRDefault="00777E71" w:rsidP="00777E71">
      <w:pPr>
        <w:pStyle w:val="Caption"/>
      </w:pPr>
      <w:r>
        <w:lastRenderedPageBreak/>
        <w:t xml:space="preserve">Figure </w:t>
      </w:r>
      <w:r>
        <w:fldChar w:fldCharType="begin"/>
      </w:r>
      <w:r>
        <w:instrText xml:space="preserve"> SEQ Figure \* ARABIC </w:instrText>
      </w:r>
      <w:r>
        <w:fldChar w:fldCharType="separate"/>
      </w:r>
      <w:r w:rsidR="00ED4593">
        <w:rPr>
          <w:noProof/>
        </w:rPr>
        <w:t>18</w:t>
      </w:r>
      <w:r>
        <w:fldChar w:fldCharType="end"/>
      </w:r>
      <w:r>
        <w:t>: Difficulty in filling occupational vacancies</w:t>
      </w:r>
    </w:p>
    <w:p w14:paraId="112F5938" w14:textId="58CA4DFA" w:rsidR="00777E71" w:rsidRDefault="004539C6" w:rsidP="00777E71">
      <w:r>
        <w:rPr>
          <w:noProof/>
        </w:rPr>
        <w:drawing>
          <wp:inline distT="0" distB="0" distL="0" distR="0" wp14:anchorId="314397F0" wp14:editId="362C159E">
            <wp:extent cx="5000625" cy="3166396"/>
            <wp:effectExtent l="0" t="0" r="0" b="0"/>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26960" cy="3183072"/>
                    </a:xfrm>
                    <a:prstGeom prst="rect">
                      <a:avLst/>
                    </a:prstGeom>
                    <a:noFill/>
                  </pic:spPr>
                </pic:pic>
              </a:graphicData>
            </a:graphic>
          </wp:inline>
        </w:drawing>
      </w:r>
    </w:p>
    <w:p w14:paraId="2AB6543D" w14:textId="77777777" w:rsidR="00B6437C" w:rsidRDefault="00B6437C" w:rsidP="00777E71"/>
    <w:p w14:paraId="4DB57810" w14:textId="44B2C355" w:rsidR="00B6437C" w:rsidRDefault="00B6437C" w:rsidP="00777E71">
      <w:bookmarkStart w:id="165" w:name="_Hlk20139352"/>
      <w:bookmarkStart w:id="166" w:name="_Hlk20139382"/>
      <w:r>
        <w:t>The most commonly stated reason for the difficulty in filling a vacancy, across all occupations, is the lack of skilled and experienced applicants.</w:t>
      </w:r>
      <w:bookmarkEnd w:id="165"/>
      <w:r>
        <w:t xml:space="preserve">  This is followed by a lack of applicants generally and the salary levels offered.</w:t>
      </w:r>
      <w:r w:rsidR="002E3A03">
        <w:t xml:space="preserve">  </w:t>
      </w:r>
      <w:bookmarkEnd w:id="166"/>
      <w:r w:rsidR="002E3A03">
        <w:t>Another factor provided by the respondents that impact on the difficulty in filling a vacancy included the l</w:t>
      </w:r>
      <w:r w:rsidR="002E3A03" w:rsidRPr="002E3A03">
        <w:t>ack of education and understanding of quality control and safety requirements.</w:t>
      </w:r>
    </w:p>
    <w:p w14:paraId="4839D919" w14:textId="576162BB" w:rsidR="00B6437C" w:rsidRDefault="00B6437C" w:rsidP="00B6437C">
      <w:pPr>
        <w:pStyle w:val="Caption"/>
      </w:pPr>
      <w:r>
        <w:t xml:space="preserve">Figure </w:t>
      </w:r>
      <w:r>
        <w:fldChar w:fldCharType="begin"/>
      </w:r>
      <w:r>
        <w:instrText xml:space="preserve"> SEQ Figure \* ARABIC </w:instrText>
      </w:r>
      <w:r>
        <w:fldChar w:fldCharType="separate"/>
      </w:r>
      <w:r w:rsidR="00ED4593">
        <w:rPr>
          <w:noProof/>
        </w:rPr>
        <w:t>19</w:t>
      </w:r>
      <w:r>
        <w:fldChar w:fldCharType="end"/>
      </w:r>
      <w:r>
        <w:t>: Reasons for difficulty in filling occupational vacancies</w:t>
      </w:r>
    </w:p>
    <w:p w14:paraId="36344953" w14:textId="7BF7A514" w:rsidR="00B6437C" w:rsidRDefault="004539C6" w:rsidP="00777E71">
      <w:r>
        <w:rPr>
          <w:noProof/>
        </w:rPr>
        <w:drawing>
          <wp:inline distT="0" distB="0" distL="0" distR="0" wp14:anchorId="057AAD4A" wp14:editId="2421876E">
            <wp:extent cx="5000625" cy="2974743"/>
            <wp:effectExtent l="0" t="0" r="0" b="0"/>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016049" cy="2983918"/>
                    </a:xfrm>
                    <a:prstGeom prst="rect">
                      <a:avLst/>
                    </a:prstGeom>
                    <a:noFill/>
                  </pic:spPr>
                </pic:pic>
              </a:graphicData>
            </a:graphic>
          </wp:inline>
        </w:drawing>
      </w:r>
    </w:p>
    <w:p w14:paraId="67FE828E" w14:textId="5737D1C3" w:rsidR="00B6437C" w:rsidRDefault="00B6437C" w:rsidP="00777E71"/>
    <w:p w14:paraId="137711F7" w14:textId="4E888587" w:rsidR="002E3A03" w:rsidRDefault="002E3A03" w:rsidP="00777E71">
      <w:bookmarkStart w:id="167" w:name="_Hlk20139365"/>
      <w:r>
        <w:t>Respondents considered the most difficult occupations to retain were Professionals, Technicians and Trades Workers, and then Managers.</w:t>
      </w:r>
      <w:bookmarkEnd w:id="167"/>
    </w:p>
    <w:p w14:paraId="0F033056" w14:textId="3CBC0BA8" w:rsidR="004539C6" w:rsidRDefault="004539C6" w:rsidP="004539C6">
      <w:pPr>
        <w:pStyle w:val="Caption"/>
      </w:pPr>
      <w:r>
        <w:lastRenderedPageBreak/>
        <w:t xml:space="preserve">Figure </w:t>
      </w:r>
      <w:r>
        <w:fldChar w:fldCharType="begin"/>
      </w:r>
      <w:r>
        <w:instrText xml:space="preserve"> SEQ Figure \* ARABIC </w:instrText>
      </w:r>
      <w:r>
        <w:fldChar w:fldCharType="separate"/>
      </w:r>
      <w:r w:rsidR="00ED4593">
        <w:rPr>
          <w:noProof/>
        </w:rPr>
        <w:t>20</w:t>
      </w:r>
      <w:r>
        <w:fldChar w:fldCharType="end"/>
      </w:r>
      <w:r>
        <w:t>: Difficulty in retaining occupations</w:t>
      </w:r>
    </w:p>
    <w:p w14:paraId="3372CBAC" w14:textId="3B44D80A" w:rsidR="00B6437C" w:rsidRDefault="004539C6" w:rsidP="00777E71">
      <w:r>
        <w:rPr>
          <w:noProof/>
        </w:rPr>
        <w:drawing>
          <wp:inline distT="0" distB="0" distL="0" distR="0" wp14:anchorId="6F0845C8" wp14:editId="56F8B32F">
            <wp:extent cx="5000625" cy="3166396"/>
            <wp:effectExtent l="0" t="0" r="0" b="0"/>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021356" cy="3179523"/>
                    </a:xfrm>
                    <a:prstGeom prst="rect">
                      <a:avLst/>
                    </a:prstGeom>
                    <a:noFill/>
                  </pic:spPr>
                </pic:pic>
              </a:graphicData>
            </a:graphic>
          </wp:inline>
        </w:drawing>
      </w:r>
    </w:p>
    <w:p w14:paraId="075746C3" w14:textId="66776AFA" w:rsidR="00B6437C" w:rsidRDefault="00B6437C" w:rsidP="00777E71"/>
    <w:p w14:paraId="0E4FD7FC" w14:textId="5676E5D0" w:rsidR="002E3A03" w:rsidRDefault="002E3A03" w:rsidP="00777E71">
      <w:bookmarkStart w:id="168" w:name="_Hlk20139371"/>
      <w:r>
        <w:t xml:space="preserve">The most commonly stated reason for the difficulty in retaining workers, across all occupations, were the salary levels offered and terms and conditions of employment.  </w:t>
      </w:r>
      <w:bookmarkEnd w:id="168"/>
      <w:r>
        <w:t>Another factor provided by the respondents that impact on the difficulty in retaining workers is the lack of in-place rural and family support structures.</w:t>
      </w:r>
    </w:p>
    <w:p w14:paraId="373A031B" w14:textId="4F0890F4" w:rsidR="004539C6" w:rsidRDefault="004539C6" w:rsidP="004539C6">
      <w:pPr>
        <w:pStyle w:val="Caption"/>
      </w:pPr>
      <w:r>
        <w:t xml:space="preserve">Figure </w:t>
      </w:r>
      <w:r>
        <w:fldChar w:fldCharType="begin"/>
      </w:r>
      <w:r>
        <w:instrText xml:space="preserve"> SEQ Figure \* ARABIC </w:instrText>
      </w:r>
      <w:r>
        <w:fldChar w:fldCharType="separate"/>
      </w:r>
      <w:r w:rsidR="00ED4593">
        <w:rPr>
          <w:noProof/>
        </w:rPr>
        <w:t>21</w:t>
      </w:r>
      <w:r>
        <w:fldChar w:fldCharType="end"/>
      </w:r>
      <w:r>
        <w:t>: Reasons for difficulty in retaining occupations</w:t>
      </w:r>
    </w:p>
    <w:p w14:paraId="4CB2C1F1" w14:textId="1C637A26" w:rsidR="002E3A03" w:rsidRPr="00777E71" w:rsidRDefault="004539C6" w:rsidP="00777E71">
      <w:r>
        <w:rPr>
          <w:noProof/>
        </w:rPr>
        <w:drawing>
          <wp:inline distT="0" distB="0" distL="0" distR="0" wp14:anchorId="2E9F69D5" wp14:editId="356D47EA">
            <wp:extent cx="5000625" cy="3166396"/>
            <wp:effectExtent l="0" t="0" r="0" b="0"/>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009876" cy="3172254"/>
                    </a:xfrm>
                    <a:prstGeom prst="rect">
                      <a:avLst/>
                    </a:prstGeom>
                    <a:noFill/>
                  </pic:spPr>
                </pic:pic>
              </a:graphicData>
            </a:graphic>
          </wp:inline>
        </w:drawing>
      </w:r>
    </w:p>
    <w:p w14:paraId="7E6656AB" w14:textId="7601E843" w:rsidR="00170442" w:rsidRPr="00617E9D" w:rsidRDefault="00170442" w:rsidP="00170442"/>
    <w:p w14:paraId="46A53794" w14:textId="1A6E49AA" w:rsidR="00F90E12" w:rsidRDefault="00F90E12" w:rsidP="005F3456">
      <w:pPr>
        <w:pStyle w:val="UnnumberedHeading1"/>
      </w:pPr>
      <w:bookmarkStart w:id="169" w:name="_Attachment_A_–"/>
      <w:bookmarkStart w:id="170" w:name="_Toc23836337"/>
      <w:bookmarkEnd w:id="169"/>
      <w:r w:rsidRPr="00441621">
        <w:lastRenderedPageBreak/>
        <w:t xml:space="preserve">Attachment </w:t>
      </w:r>
      <w:r>
        <w:t>A</w:t>
      </w:r>
      <w:r w:rsidRPr="00441621">
        <w:t xml:space="preserve"> –</w:t>
      </w:r>
      <w:r w:rsidR="008C0A79">
        <w:t xml:space="preserve"> </w:t>
      </w:r>
      <w:r w:rsidR="00CE4A45">
        <w:t>Industry Stakeholders</w:t>
      </w:r>
      <w:bookmarkEnd w:id="170"/>
    </w:p>
    <w:p w14:paraId="0C7990A5" w14:textId="253879B3" w:rsidR="00B87959" w:rsidRDefault="00B87959" w:rsidP="00B87959">
      <w:pPr>
        <w:pStyle w:val="Caption"/>
      </w:pPr>
      <w:r>
        <w:t xml:space="preserve">Table </w:t>
      </w:r>
      <w:r>
        <w:fldChar w:fldCharType="begin"/>
      </w:r>
      <w:r>
        <w:instrText xml:space="preserve"> SEQ Table \* ARABIC </w:instrText>
      </w:r>
      <w:r>
        <w:fldChar w:fldCharType="separate"/>
      </w:r>
      <w:r w:rsidR="00ED4593">
        <w:rPr>
          <w:noProof/>
        </w:rPr>
        <w:t>4</w:t>
      </w:r>
      <w:r>
        <w:fldChar w:fldCharType="end"/>
      </w:r>
      <w:r>
        <w:t xml:space="preserve">: </w:t>
      </w:r>
      <w:r w:rsidR="00CE4A45">
        <w:t>Industry stakeholders consulted</w:t>
      </w:r>
    </w:p>
    <w:tbl>
      <w:tblPr>
        <w:tblStyle w:val="ListTable4-Accent11"/>
        <w:tblW w:w="0" w:type="auto"/>
        <w:tblLook w:val="04A0" w:firstRow="1" w:lastRow="0" w:firstColumn="1" w:lastColumn="0" w:noHBand="0" w:noVBand="1"/>
      </w:tblPr>
      <w:tblGrid>
        <w:gridCol w:w="3207"/>
        <w:gridCol w:w="3207"/>
        <w:gridCol w:w="3207"/>
      </w:tblGrid>
      <w:tr w:rsidR="00180E39" w14:paraId="56BD8CE0" w14:textId="5C1C10B7" w:rsidTr="00825D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center"/>
          </w:tcPr>
          <w:p w14:paraId="73A1431D" w14:textId="2C87F6C8" w:rsidR="00180E39" w:rsidRDefault="00180E39" w:rsidP="00180E39">
            <w:pPr>
              <w:pStyle w:val="TableHeading"/>
            </w:pPr>
            <w:r>
              <w:t>Name</w:t>
            </w:r>
          </w:p>
        </w:tc>
        <w:tc>
          <w:tcPr>
            <w:tcW w:w="3207" w:type="dxa"/>
            <w:vAlign w:val="center"/>
          </w:tcPr>
          <w:p w14:paraId="0C98A34E" w14:textId="4D8BB838" w:rsidR="00180E39" w:rsidRDefault="00180E39" w:rsidP="00180E39">
            <w:pPr>
              <w:pStyle w:val="TableHeading"/>
              <w:cnfStyle w:val="100000000000" w:firstRow="1" w:lastRow="0" w:firstColumn="0" w:lastColumn="0" w:oddVBand="0" w:evenVBand="0" w:oddHBand="0" w:evenHBand="0" w:firstRowFirstColumn="0" w:firstRowLastColumn="0" w:lastRowFirstColumn="0" w:lastRowLastColumn="0"/>
            </w:pPr>
            <w:r>
              <w:t>Organisation</w:t>
            </w:r>
          </w:p>
        </w:tc>
        <w:tc>
          <w:tcPr>
            <w:tcW w:w="3207" w:type="dxa"/>
            <w:vAlign w:val="center"/>
          </w:tcPr>
          <w:p w14:paraId="3BBA1AD1" w14:textId="53539396" w:rsidR="00180E39" w:rsidRDefault="00CE4A45" w:rsidP="00180E39">
            <w:pPr>
              <w:pStyle w:val="TableHeading"/>
              <w:cnfStyle w:val="100000000000" w:firstRow="1" w:lastRow="0" w:firstColumn="0" w:lastColumn="0" w:oddVBand="0" w:evenVBand="0" w:oddHBand="0" w:evenHBand="0" w:firstRowFirstColumn="0" w:firstRowLastColumn="0" w:lastRowFirstColumn="0" w:lastRowLastColumn="0"/>
            </w:pPr>
            <w:r>
              <w:t>Relationship to Industry</w:t>
            </w:r>
          </w:p>
        </w:tc>
      </w:tr>
      <w:tr w:rsidR="00CE4A45" w14:paraId="1CD17BF3" w14:textId="6DA391B3" w:rsidTr="00825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center"/>
          </w:tcPr>
          <w:p w14:paraId="40D2474A" w14:textId="2C9E168E" w:rsidR="00CE4A45" w:rsidRPr="00F9483C" w:rsidRDefault="00CE4A45" w:rsidP="00CE4A45">
            <w:pPr>
              <w:pStyle w:val="TableText"/>
              <w:rPr>
                <w:b w:val="0"/>
                <w:bCs/>
              </w:rPr>
            </w:pPr>
            <w:r w:rsidRPr="00F9483C">
              <w:rPr>
                <w:b w:val="0"/>
              </w:rPr>
              <w:t>Kent Wyllie</w:t>
            </w:r>
          </w:p>
        </w:tc>
        <w:tc>
          <w:tcPr>
            <w:tcW w:w="3207" w:type="dxa"/>
            <w:vAlign w:val="center"/>
          </w:tcPr>
          <w:p w14:paraId="5E05BA85" w14:textId="2D45671C" w:rsidR="00CE4A45" w:rsidRPr="00F9483C" w:rsidRDefault="00CE4A45" w:rsidP="00CE4A45">
            <w:pPr>
              <w:pStyle w:val="TableText"/>
              <w:cnfStyle w:val="000000100000" w:firstRow="0" w:lastRow="0" w:firstColumn="0" w:lastColumn="0" w:oddVBand="0" w:evenVBand="0" w:oddHBand="1" w:evenHBand="0" w:firstRowFirstColumn="0" w:firstRowLastColumn="0" w:lastRowFirstColumn="0" w:lastRowLastColumn="0"/>
            </w:pPr>
            <w:r w:rsidRPr="00F9483C">
              <w:t>Tasmanian Minerals, Manufacturing &amp; Energy Council</w:t>
            </w:r>
          </w:p>
        </w:tc>
        <w:tc>
          <w:tcPr>
            <w:tcW w:w="3207" w:type="dxa"/>
            <w:vAlign w:val="center"/>
          </w:tcPr>
          <w:p w14:paraId="37196EB3" w14:textId="193C2384" w:rsidR="00CE4A45" w:rsidRPr="00F9483C" w:rsidRDefault="00CE4A45" w:rsidP="00CE4A45">
            <w:pPr>
              <w:pStyle w:val="TableText"/>
              <w:cnfStyle w:val="000000100000" w:firstRow="0" w:lastRow="0" w:firstColumn="0" w:lastColumn="0" w:oddVBand="0" w:evenVBand="0" w:oddHBand="1" w:evenHBand="0" w:firstRowFirstColumn="0" w:firstRowLastColumn="0" w:lastRowFirstColumn="0" w:lastRowLastColumn="0"/>
            </w:pPr>
            <w:r>
              <w:t>Industry body</w:t>
            </w:r>
          </w:p>
        </w:tc>
      </w:tr>
      <w:tr w:rsidR="00CE4A45" w14:paraId="731C89D4" w14:textId="65B88771" w:rsidTr="00825D5E">
        <w:tc>
          <w:tcPr>
            <w:cnfStyle w:val="001000000000" w:firstRow="0" w:lastRow="0" w:firstColumn="1" w:lastColumn="0" w:oddVBand="0" w:evenVBand="0" w:oddHBand="0" w:evenHBand="0" w:firstRowFirstColumn="0" w:firstRowLastColumn="0" w:lastRowFirstColumn="0" w:lastRowLastColumn="0"/>
            <w:tcW w:w="3207" w:type="dxa"/>
            <w:vAlign w:val="center"/>
          </w:tcPr>
          <w:p w14:paraId="2B8CE7E1" w14:textId="1BD2D0C8" w:rsidR="00CE4A45" w:rsidRPr="00F9483C" w:rsidRDefault="00CE4A45" w:rsidP="00CE4A45">
            <w:pPr>
              <w:pStyle w:val="TableText"/>
              <w:rPr>
                <w:b w:val="0"/>
                <w:bCs/>
              </w:rPr>
            </w:pPr>
            <w:r w:rsidRPr="00F9483C">
              <w:rPr>
                <w:b w:val="0"/>
              </w:rPr>
              <w:t>Alison Hilder</w:t>
            </w:r>
          </w:p>
        </w:tc>
        <w:tc>
          <w:tcPr>
            <w:tcW w:w="3207" w:type="dxa"/>
            <w:vAlign w:val="center"/>
          </w:tcPr>
          <w:p w14:paraId="57A86AF8" w14:textId="7CE1C27E" w:rsidR="00CE4A45" w:rsidRPr="00F9483C" w:rsidRDefault="00CE4A45" w:rsidP="00CE4A45">
            <w:pPr>
              <w:pStyle w:val="TableText"/>
              <w:cnfStyle w:val="000000000000" w:firstRow="0" w:lastRow="0" w:firstColumn="0" w:lastColumn="0" w:oddVBand="0" w:evenVBand="0" w:oddHBand="0" w:evenHBand="0" w:firstRowFirstColumn="0" w:firstRowLastColumn="0" w:lastRowFirstColumn="0" w:lastRowLastColumn="0"/>
            </w:pPr>
            <w:r w:rsidRPr="00F9483C">
              <w:t>Tasmanian Minerals, Manufacturing &amp; Energy Council</w:t>
            </w:r>
          </w:p>
        </w:tc>
        <w:tc>
          <w:tcPr>
            <w:tcW w:w="3207" w:type="dxa"/>
            <w:vAlign w:val="center"/>
          </w:tcPr>
          <w:p w14:paraId="7330DFA7" w14:textId="2752526C" w:rsidR="00CE4A45" w:rsidRPr="00F9483C" w:rsidRDefault="00CE4A45" w:rsidP="00CE4A45">
            <w:pPr>
              <w:pStyle w:val="TableText"/>
              <w:cnfStyle w:val="000000000000" w:firstRow="0" w:lastRow="0" w:firstColumn="0" w:lastColumn="0" w:oddVBand="0" w:evenVBand="0" w:oddHBand="0" w:evenHBand="0" w:firstRowFirstColumn="0" w:firstRowLastColumn="0" w:lastRowFirstColumn="0" w:lastRowLastColumn="0"/>
            </w:pPr>
            <w:r>
              <w:t>Industry body</w:t>
            </w:r>
          </w:p>
        </w:tc>
      </w:tr>
      <w:tr w:rsidR="00CE4A45" w14:paraId="21E19B8E" w14:textId="3500EF32" w:rsidTr="00825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center"/>
          </w:tcPr>
          <w:p w14:paraId="28E06CC6" w14:textId="16A8A264" w:rsidR="00CE4A45" w:rsidRPr="00F9483C" w:rsidRDefault="00CE4A45" w:rsidP="00CE4A45">
            <w:pPr>
              <w:pStyle w:val="TableText"/>
              <w:rPr>
                <w:b w:val="0"/>
                <w:bCs/>
              </w:rPr>
            </w:pPr>
            <w:r w:rsidRPr="00F9483C">
              <w:rPr>
                <w:b w:val="0"/>
              </w:rPr>
              <w:t>Declan Finnegan</w:t>
            </w:r>
          </w:p>
        </w:tc>
        <w:tc>
          <w:tcPr>
            <w:tcW w:w="3207" w:type="dxa"/>
            <w:vAlign w:val="center"/>
          </w:tcPr>
          <w:p w14:paraId="44B9AAFE" w14:textId="37F0789D" w:rsidR="00CE4A45" w:rsidRPr="00F9483C" w:rsidRDefault="00CE4A45" w:rsidP="00CE4A45">
            <w:pPr>
              <w:pStyle w:val="TableText"/>
              <w:cnfStyle w:val="000000100000" w:firstRow="0" w:lastRow="0" w:firstColumn="0" w:lastColumn="0" w:oddVBand="0" w:evenVBand="0" w:oddHBand="1" w:evenHBand="0" w:firstRowFirstColumn="0" w:firstRowLastColumn="0" w:lastRowFirstColumn="0" w:lastRowLastColumn="0"/>
            </w:pPr>
            <w:r w:rsidRPr="00F9483C">
              <w:t>Grange Resources</w:t>
            </w:r>
          </w:p>
        </w:tc>
        <w:tc>
          <w:tcPr>
            <w:tcW w:w="3207" w:type="dxa"/>
            <w:vAlign w:val="center"/>
          </w:tcPr>
          <w:p w14:paraId="7FE52FCB" w14:textId="578D57C2" w:rsidR="00CE4A45" w:rsidRPr="00F9483C" w:rsidRDefault="00CE4A45" w:rsidP="00CE4A45">
            <w:pPr>
              <w:pStyle w:val="TableText"/>
              <w:cnfStyle w:val="000000100000" w:firstRow="0" w:lastRow="0" w:firstColumn="0" w:lastColumn="0" w:oddVBand="0" w:evenVBand="0" w:oddHBand="1" w:evenHBand="0" w:firstRowFirstColumn="0" w:firstRowLastColumn="0" w:lastRowFirstColumn="0" w:lastRowLastColumn="0"/>
            </w:pPr>
            <w:r>
              <w:t>Mining company</w:t>
            </w:r>
          </w:p>
        </w:tc>
      </w:tr>
      <w:tr w:rsidR="00CE4A45" w14:paraId="2D12035B" w14:textId="16678EC3" w:rsidTr="0062230C">
        <w:tc>
          <w:tcPr>
            <w:cnfStyle w:val="001000000000" w:firstRow="0" w:lastRow="0" w:firstColumn="1" w:lastColumn="0" w:oddVBand="0" w:evenVBand="0" w:oddHBand="0" w:evenHBand="0" w:firstRowFirstColumn="0" w:firstRowLastColumn="0" w:lastRowFirstColumn="0" w:lastRowLastColumn="0"/>
            <w:tcW w:w="3207" w:type="dxa"/>
            <w:vAlign w:val="center"/>
          </w:tcPr>
          <w:p w14:paraId="671962C9" w14:textId="2ACD5E81" w:rsidR="00CE4A45" w:rsidRPr="00F9483C" w:rsidRDefault="00CE4A45" w:rsidP="00CE4A45">
            <w:pPr>
              <w:pStyle w:val="TableText"/>
              <w:rPr>
                <w:b w:val="0"/>
                <w:bCs/>
              </w:rPr>
            </w:pPr>
            <w:r w:rsidRPr="00F9483C">
              <w:rPr>
                <w:b w:val="0"/>
              </w:rPr>
              <w:t>Colin At</w:t>
            </w:r>
            <w:r w:rsidR="00B47D30">
              <w:rPr>
                <w:b w:val="0"/>
              </w:rPr>
              <w:t>k</w:t>
            </w:r>
            <w:r w:rsidRPr="00F9483C">
              <w:rPr>
                <w:b w:val="0"/>
              </w:rPr>
              <w:t>inson</w:t>
            </w:r>
          </w:p>
        </w:tc>
        <w:tc>
          <w:tcPr>
            <w:tcW w:w="3207" w:type="dxa"/>
            <w:vAlign w:val="center"/>
          </w:tcPr>
          <w:p w14:paraId="53EFAECE" w14:textId="54BBD726" w:rsidR="00CE4A45" w:rsidRPr="00F9483C" w:rsidRDefault="00CE4A45" w:rsidP="00CE4A45">
            <w:pPr>
              <w:pStyle w:val="TableText"/>
              <w:cnfStyle w:val="000000000000" w:firstRow="0" w:lastRow="0" w:firstColumn="0" w:lastColumn="0" w:oddVBand="0" w:evenVBand="0" w:oddHBand="0" w:evenHBand="0" w:firstRowFirstColumn="0" w:firstRowLastColumn="0" w:lastRowFirstColumn="0" w:lastRowLastColumn="0"/>
            </w:pPr>
            <w:r w:rsidRPr="00F9483C">
              <w:t>MMG Rosebery Mine</w:t>
            </w:r>
          </w:p>
        </w:tc>
        <w:tc>
          <w:tcPr>
            <w:tcW w:w="3207" w:type="dxa"/>
          </w:tcPr>
          <w:p w14:paraId="1DDC86D0" w14:textId="51B4C2DA" w:rsidR="00CE4A45" w:rsidRPr="00F9483C" w:rsidRDefault="00CE4A45" w:rsidP="00CE4A45">
            <w:pPr>
              <w:pStyle w:val="TableText"/>
              <w:cnfStyle w:val="000000000000" w:firstRow="0" w:lastRow="0" w:firstColumn="0" w:lastColumn="0" w:oddVBand="0" w:evenVBand="0" w:oddHBand="0" w:evenHBand="0" w:firstRowFirstColumn="0" w:firstRowLastColumn="0" w:lastRowFirstColumn="0" w:lastRowLastColumn="0"/>
            </w:pPr>
            <w:r w:rsidRPr="00D16AEB">
              <w:t>Mining company</w:t>
            </w:r>
          </w:p>
        </w:tc>
      </w:tr>
      <w:tr w:rsidR="00CE4A45" w14:paraId="2C6D3CA4" w14:textId="302CA757" w:rsidTr="00622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center"/>
          </w:tcPr>
          <w:p w14:paraId="7038FCA1" w14:textId="14F48883" w:rsidR="00CE4A45" w:rsidRPr="00F9483C" w:rsidRDefault="00CE4A45" w:rsidP="00CE4A45">
            <w:pPr>
              <w:pStyle w:val="TableText"/>
              <w:rPr>
                <w:b w:val="0"/>
                <w:bCs/>
              </w:rPr>
            </w:pPr>
            <w:r w:rsidRPr="00F9483C">
              <w:rPr>
                <w:b w:val="0"/>
              </w:rPr>
              <w:t>Derek Pearl</w:t>
            </w:r>
          </w:p>
        </w:tc>
        <w:tc>
          <w:tcPr>
            <w:tcW w:w="3207" w:type="dxa"/>
            <w:vAlign w:val="center"/>
          </w:tcPr>
          <w:p w14:paraId="5540A7AB" w14:textId="3990674B" w:rsidR="00CE4A45" w:rsidRPr="00F9483C" w:rsidRDefault="00CE4A45" w:rsidP="00CE4A45">
            <w:pPr>
              <w:pStyle w:val="TableText"/>
              <w:cnfStyle w:val="000000100000" w:firstRow="0" w:lastRow="0" w:firstColumn="0" w:lastColumn="0" w:oddVBand="0" w:evenVBand="0" w:oddHBand="1" w:evenHBand="0" w:firstRowFirstColumn="0" w:firstRowLastColumn="0" w:lastRowFirstColumn="0" w:lastRowLastColumn="0"/>
            </w:pPr>
            <w:r w:rsidRPr="00F9483C">
              <w:t>Bluestone Tasmania Mine Joint Venture</w:t>
            </w:r>
          </w:p>
        </w:tc>
        <w:tc>
          <w:tcPr>
            <w:tcW w:w="3207" w:type="dxa"/>
          </w:tcPr>
          <w:p w14:paraId="3C1C7CE9" w14:textId="2C5EA669" w:rsidR="00CE4A45" w:rsidRPr="00F9483C" w:rsidRDefault="00CE4A45" w:rsidP="00CE4A45">
            <w:pPr>
              <w:pStyle w:val="TableText"/>
              <w:cnfStyle w:val="000000100000" w:firstRow="0" w:lastRow="0" w:firstColumn="0" w:lastColumn="0" w:oddVBand="0" w:evenVBand="0" w:oddHBand="1" w:evenHBand="0" w:firstRowFirstColumn="0" w:firstRowLastColumn="0" w:lastRowFirstColumn="0" w:lastRowLastColumn="0"/>
            </w:pPr>
            <w:r w:rsidRPr="00D16AEB">
              <w:t>Mining company</w:t>
            </w:r>
          </w:p>
        </w:tc>
      </w:tr>
      <w:tr w:rsidR="00CE4A45" w14:paraId="43C93E6A" w14:textId="2BF0DB5A" w:rsidTr="0062230C">
        <w:tc>
          <w:tcPr>
            <w:cnfStyle w:val="001000000000" w:firstRow="0" w:lastRow="0" w:firstColumn="1" w:lastColumn="0" w:oddVBand="0" w:evenVBand="0" w:oddHBand="0" w:evenHBand="0" w:firstRowFirstColumn="0" w:firstRowLastColumn="0" w:lastRowFirstColumn="0" w:lastRowLastColumn="0"/>
            <w:tcW w:w="3207" w:type="dxa"/>
            <w:vAlign w:val="center"/>
          </w:tcPr>
          <w:p w14:paraId="0D48183E" w14:textId="3F2A3EEA" w:rsidR="00CE4A45" w:rsidRPr="00F9483C" w:rsidRDefault="00CE4A45" w:rsidP="00CE4A45">
            <w:pPr>
              <w:pStyle w:val="TableText"/>
              <w:rPr>
                <w:b w:val="0"/>
                <w:bCs/>
              </w:rPr>
            </w:pPr>
            <w:r w:rsidRPr="00F9483C">
              <w:rPr>
                <w:b w:val="0"/>
              </w:rPr>
              <w:t>Robert Patterson</w:t>
            </w:r>
          </w:p>
        </w:tc>
        <w:tc>
          <w:tcPr>
            <w:tcW w:w="3207" w:type="dxa"/>
            <w:vAlign w:val="center"/>
          </w:tcPr>
          <w:p w14:paraId="21D6AD76" w14:textId="22D1C00A" w:rsidR="00CE4A45" w:rsidRPr="00F9483C" w:rsidRDefault="00CE4A45" w:rsidP="00CE4A45">
            <w:pPr>
              <w:pStyle w:val="TableText"/>
              <w:cnfStyle w:val="000000000000" w:firstRow="0" w:lastRow="0" w:firstColumn="0" w:lastColumn="0" w:oddVBand="0" w:evenVBand="0" w:oddHBand="0" w:evenHBand="0" w:firstRowFirstColumn="0" w:firstRowLastColumn="0" w:lastRowFirstColumn="0" w:lastRowLastColumn="0"/>
            </w:pPr>
            <w:r w:rsidRPr="00F9483C">
              <w:t>Pybar</w:t>
            </w:r>
          </w:p>
        </w:tc>
        <w:tc>
          <w:tcPr>
            <w:tcW w:w="3207" w:type="dxa"/>
          </w:tcPr>
          <w:p w14:paraId="521BC3F7" w14:textId="7FC7A1F9" w:rsidR="00CE4A45" w:rsidRPr="00F9483C" w:rsidRDefault="00CE4A45" w:rsidP="00CE4A45">
            <w:pPr>
              <w:pStyle w:val="TableText"/>
              <w:cnfStyle w:val="000000000000" w:firstRow="0" w:lastRow="0" w:firstColumn="0" w:lastColumn="0" w:oddVBand="0" w:evenVBand="0" w:oddHBand="0" w:evenHBand="0" w:firstRowFirstColumn="0" w:firstRowLastColumn="0" w:lastRowFirstColumn="0" w:lastRowLastColumn="0"/>
            </w:pPr>
            <w:r w:rsidRPr="00D16AEB">
              <w:t>Mining company</w:t>
            </w:r>
          </w:p>
        </w:tc>
      </w:tr>
      <w:tr w:rsidR="00CE4A45" w14:paraId="485F981C" w14:textId="126A6471" w:rsidTr="00622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center"/>
          </w:tcPr>
          <w:p w14:paraId="20E446D9" w14:textId="4926DB4C" w:rsidR="00CE4A45" w:rsidRPr="00F9483C" w:rsidRDefault="00CE4A45" w:rsidP="00CE4A45">
            <w:pPr>
              <w:pStyle w:val="TableText"/>
              <w:rPr>
                <w:b w:val="0"/>
                <w:bCs/>
              </w:rPr>
            </w:pPr>
            <w:r w:rsidRPr="00F9483C">
              <w:rPr>
                <w:b w:val="0"/>
              </w:rPr>
              <w:t>Peter Walker</w:t>
            </w:r>
          </w:p>
        </w:tc>
        <w:tc>
          <w:tcPr>
            <w:tcW w:w="3207" w:type="dxa"/>
            <w:vAlign w:val="center"/>
          </w:tcPr>
          <w:p w14:paraId="707EB7D7" w14:textId="0F0E9641" w:rsidR="00CE4A45" w:rsidRPr="00F9483C" w:rsidRDefault="00CE4A45" w:rsidP="00CE4A45">
            <w:pPr>
              <w:pStyle w:val="TableText"/>
              <w:cnfStyle w:val="000000100000" w:firstRow="0" w:lastRow="0" w:firstColumn="0" w:lastColumn="0" w:oddVBand="0" w:evenVBand="0" w:oddHBand="1" w:evenHBand="0" w:firstRowFirstColumn="0" w:firstRowLastColumn="0" w:lastRowFirstColumn="0" w:lastRowLastColumn="0"/>
            </w:pPr>
            <w:r w:rsidRPr="00F9483C">
              <w:t>Copper Mines of Tasmania</w:t>
            </w:r>
          </w:p>
        </w:tc>
        <w:tc>
          <w:tcPr>
            <w:tcW w:w="3207" w:type="dxa"/>
          </w:tcPr>
          <w:p w14:paraId="169BED3D" w14:textId="4BC6EDA5" w:rsidR="00CE4A45" w:rsidRPr="00F9483C" w:rsidRDefault="00CE4A45" w:rsidP="00CE4A45">
            <w:pPr>
              <w:pStyle w:val="TableText"/>
              <w:cnfStyle w:val="000000100000" w:firstRow="0" w:lastRow="0" w:firstColumn="0" w:lastColumn="0" w:oddVBand="0" w:evenVBand="0" w:oddHBand="1" w:evenHBand="0" w:firstRowFirstColumn="0" w:firstRowLastColumn="0" w:lastRowFirstColumn="0" w:lastRowLastColumn="0"/>
            </w:pPr>
            <w:r w:rsidRPr="00D16AEB">
              <w:t>Mining company</w:t>
            </w:r>
          </w:p>
        </w:tc>
      </w:tr>
      <w:tr w:rsidR="00CE4A45" w14:paraId="3277ADDB" w14:textId="76E8FAC0" w:rsidTr="0062230C">
        <w:tc>
          <w:tcPr>
            <w:cnfStyle w:val="001000000000" w:firstRow="0" w:lastRow="0" w:firstColumn="1" w:lastColumn="0" w:oddVBand="0" w:evenVBand="0" w:oddHBand="0" w:evenHBand="0" w:firstRowFirstColumn="0" w:firstRowLastColumn="0" w:lastRowFirstColumn="0" w:lastRowLastColumn="0"/>
            <w:tcW w:w="3207" w:type="dxa"/>
            <w:vAlign w:val="center"/>
          </w:tcPr>
          <w:p w14:paraId="4CE37391" w14:textId="38931FEF" w:rsidR="00CE4A45" w:rsidRPr="00F9483C" w:rsidRDefault="00CE4A45" w:rsidP="00CE4A45">
            <w:pPr>
              <w:pStyle w:val="TableText"/>
              <w:rPr>
                <w:b w:val="0"/>
                <w:bCs/>
              </w:rPr>
            </w:pPr>
            <w:r w:rsidRPr="00F9483C">
              <w:rPr>
                <w:b w:val="0"/>
              </w:rPr>
              <w:t>Erin Hurley</w:t>
            </w:r>
          </w:p>
        </w:tc>
        <w:tc>
          <w:tcPr>
            <w:tcW w:w="3207" w:type="dxa"/>
            <w:vAlign w:val="center"/>
          </w:tcPr>
          <w:p w14:paraId="4CD56B06" w14:textId="60F1D35B" w:rsidR="00CE4A45" w:rsidRPr="00F9483C" w:rsidRDefault="00CE4A45" w:rsidP="00CE4A45">
            <w:pPr>
              <w:pStyle w:val="TableText"/>
              <w:cnfStyle w:val="000000000000" w:firstRow="0" w:lastRow="0" w:firstColumn="0" w:lastColumn="0" w:oddVBand="0" w:evenVBand="0" w:oddHBand="0" w:evenHBand="0" w:firstRowFirstColumn="0" w:firstRowLastColumn="0" w:lastRowFirstColumn="0" w:lastRowLastColumn="0"/>
            </w:pPr>
            <w:r w:rsidRPr="00F9483C">
              <w:t>Cement Australia</w:t>
            </w:r>
          </w:p>
        </w:tc>
        <w:tc>
          <w:tcPr>
            <w:tcW w:w="3207" w:type="dxa"/>
          </w:tcPr>
          <w:p w14:paraId="62E87D6D" w14:textId="7A87CA6C" w:rsidR="00CE4A45" w:rsidRPr="00F9483C" w:rsidRDefault="00CE4A45" w:rsidP="00CE4A45">
            <w:pPr>
              <w:pStyle w:val="TableText"/>
              <w:cnfStyle w:val="000000000000" w:firstRow="0" w:lastRow="0" w:firstColumn="0" w:lastColumn="0" w:oddVBand="0" w:evenVBand="0" w:oddHBand="0" w:evenHBand="0" w:firstRowFirstColumn="0" w:firstRowLastColumn="0" w:lastRowFirstColumn="0" w:lastRowLastColumn="0"/>
            </w:pPr>
            <w:r w:rsidRPr="00D16AEB">
              <w:t>Mining company</w:t>
            </w:r>
          </w:p>
        </w:tc>
      </w:tr>
      <w:tr w:rsidR="00CE4A45" w14:paraId="2CBF900C" w14:textId="63582462" w:rsidTr="00622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center"/>
          </w:tcPr>
          <w:p w14:paraId="76418BEF" w14:textId="762BF384" w:rsidR="00CE4A45" w:rsidRPr="00F9483C" w:rsidRDefault="00CE4A45" w:rsidP="00CE4A45">
            <w:pPr>
              <w:pStyle w:val="TableText"/>
              <w:rPr>
                <w:b w:val="0"/>
                <w:bCs/>
              </w:rPr>
            </w:pPr>
            <w:r w:rsidRPr="006E37E8">
              <w:rPr>
                <w:b w:val="0"/>
              </w:rPr>
              <w:t>Vickie Greig</w:t>
            </w:r>
          </w:p>
        </w:tc>
        <w:tc>
          <w:tcPr>
            <w:tcW w:w="3207" w:type="dxa"/>
            <w:vAlign w:val="center"/>
          </w:tcPr>
          <w:p w14:paraId="4BA24F0D" w14:textId="596F3BE7" w:rsidR="00CE4A45" w:rsidRPr="00F9483C" w:rsidRDefault="00CE4A45" w:rsidP="00CE4A45">
            <w:pPr>
              <w:pStyle w:val="TableText"/>
              <w:cnfStyle w:val="000000100000" w:firstRow="0" w:lastRow="0" w:firstColumn="0" w:lastColumn="0" w:oddVBand="0" w:evenVBand="0" w:oddHBand="1" w:evenHBand="0" w:firstRowFirstColumn="0" w:firstRowLastColumn="0" w:lastRowFirstColumn="0" w:lastRowLastColumn="0"/>
            </w:pPr>
            <w:r>
              <w:t>Tasmanian Advanced Minerals</w:t>
            </w:r>
          </w:p>
        </w:tc>
        <w:tc>
          <w:tcPr>
            <w:tcW w:w="3207" w:type="dxa"/>
          </w:tcPr>
          <w:p w14:paraId="4778AB4D" w14:textId="65DEF0A7" w:rsidR="00CE4A45" w:rsidRPr="00F9483C" w:rsidRDefault="00CE4A45" w:rsidP="00CE4A45">
            <w:pPr>
              <w:pStyle w:val="TableText"/>
              <w:cnfStyle w:val="000000100000" w:firstRow="0" w:lastRow="0" w:firstColumn="0" w:lastColumn="0" w:oddVBand="0" w:evenVBand="0" w:oddHBand="1" w:evenHBand="0" w:firstRowFirstColumn="0" w:firstRowLastColumn="0" w:lastRowFirstColumn="0" w:lastRowLastColumn="0"/>
            </w:pPr>
            <w:r w:rsidRPr="00D16AEB">
              <w:t>Mining company</w:t>
            </w:r>
          </w:p>
        </w:tc>
      </w:tr>
      <w:tr w:rsidR="00CE4A45" w14:paraId="27295C26" w14:textId="7B5091CB" w:rsidTr="0062230C">
        <w:tc>
          <w:tcPr>
            <w:cnfStyle w:val="001000000000" w:firstRow="0" w:lastRow="0" w:firstColumn="1" w:lastColumn="0" w:oddVBand="0" w:evenVBand="0" w:oddHBand="0" w:evenHBand="0" w:firstRowFirstColumn="0" w:firstRowLastColumn="0" w:lastRowFirstColumn="0" w:lastRowLastColumn="0"/>
            <w:tcW w:w="3207" w:type="dxa"/>
            <w:vAlign w:val="center"/>
          </w:tcPr>
          <w:p w14:paraId="27F1C5DE" w14:textId="3B5171E8" w:rsidR="00CE4A45" w:rsidRPr="00F9483C" w:rsidRDefault="00CE4A45" w:rsidP="00CE4A45">
            <w:pPr>
              <w:pStyle w:val="TableText"/>
              <w:rPr>
                <w:b w:val="0"/>
                <w:bCs/>
              </w:rPr>
            </w:pPr>
            <w:r w:rsidRPr="006E37E8">
              <w:rPr>
                <w:b w:val="0"/>
              </w:rPr>
              <w:t>Mark Burton</w:t>
            </w:r>
          </w:p>
        </w:tc>
        <w:tc>
          <w:tcPr>
            <w:tcW w:w="3207" w:type="dxa"/>
            <w:vAlign w:val="center"/>
          </w:tcPr>
          <w:p w14:paraId="01409F3B" w14:textId="0E5EBF61" w:rsidR="00CE4A45" w:rsidRPr="00F9483C" w:rsidRDefault="00CE4A45" w:rsidP="00CE4A45">
            <w:pPr>
              <w:pStyle w:val="TableText"/>
              <w:cnfStyle w:val="000000000000" w:firstRow="0" w:lastRow="0" w:firstColumn="0" w:lastColumn="0" w:oddVBand="0" w:evenVBand="0" w:oddHBand="0" w:evenHBand="0" w:firstRowFirstColumn="0" w:firstRowLastColumn="0" w:lastRowFirstColumn="0" w:lastRowLastColumn="0"/>
            </w:pPr>
            <w:r>
              <w:t>Hellyer Gold Mine</w:t>
            </w:r>
          </w:p>
        </w:tc>
        <w:tc>
          <w:tcPr>
            <w:tcW w:w="3207" w:type="dxa"/>
          </w:tcPr>
          <w:p w14:paraId="5CF61D5E" w14:textId="3A61EC68" w:rsidR="00CE4A45" w:rsidRPr="00F9483C" w:rsidRDefault="00CE4A45" w:rsidP="00CE4A45">
            <w:pPr>
              <w:pStyle w:val="TableText"/>
              <w:cnfStyle w:val="000000000000" w:firstRow="0" w:lastRow="0" w:firstColumn="0" w:lastColumn="0" w:oddVBand="0" w:evenVBand="0" w:oddHBand="0" w:evenHBand="0" w:firstRowFirstColumn="0" w:firstRowLastColumn="0" w:lastRowFirstColumn="0" w:lastRowLastColumn="0"/>
            </w:pPr>
            <w:r w:rsidRPr="00D16AEB">
              <w:t>Mining company</w:t>
            </w:r>
          </w:p>
        </w:tc>
      </w:tr>
      <w:tr w:rsidR="00CE4A45" w14:paraId="7FFB9068" w14:textId="68D18C77" w:rsidTr="00825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center"/>
          </w:tcPr>
          <w:p w14:paraId="6A55762E" w14:textId="5F3D1088" w:rsidR="00CE4A45" w:rsidRPr="00F9483C" w:rsidRDefault="00CE4A45" w:rsidP="00CE4A45">
            <w:pPr>
              <w:pStyle w:val="TableText"/>
              <w:rPr>
                <w:b w:val="0"/>
                <w:bCs/>
              </w:rPr>
            </w:pPr>
            <w:r w:rsidRPr="00F9483C">
              <w:rPr>
                <w:b w:val="0"/>
              </w:rPr>
              <w:t>Cheryl Fuller</w:t>
            </w:r>
          </w:p>
        </w:tc>
        <w:tc>
          <w:tcPr>
            <w:tcW w:w="3207" w:type="dxa"/>
            <w:vAlign w:val="center"/>
          </w:tcPr>
          <w:p w14:paraId="6BA3A4F1" w14:textId="343B7890" w:rsidR="00CE4A45" w:rsidRPr="00F9483C" w:rsidRDefault="00CE4A45" w:rsidP="00CE4A45">
            <w:pPr>
              <w:pStyle w:val="TableText"/>
              <w:cnfStyle w:val="000000100000" w:firstRow="0" w:lastRow="0" w:firstColumn="0" w:lastColumn="0" w:oddVBand="0" w:evenVBand="0" w:oddHBand="1" w:evenHBand="0" w:firstRowFirstColumn="0" w:firstRowLastColumn="0" w:lastRowFirstColumn="0" w:lastRowLastColumn="0"/>
            </w:pPr>
            <w:r w:rsidRPr="00F9483C">
              <w:t>Productivity Improvers</w:t>
            </w:r>
          </w:p>
        </w:tc>
        <w:tc>
          <w:tcPr>
            <w:tcW w:w="3207" w:type="dxa"/>
            <w:vAlign w:val="center"/>
          </w:tcPr>
          <w:p w14:paraId="4A06B1F5" w14:textId="04D2FC1D" w:rsidR="00CE4A45" w:rsidRPr="00F9483C" w:rsidRDefault="00CE4A45" w:rsidP="00CE4A45">
            <w:pPr>
              <w:pStyle w:val="TableText"/>
              <w:cnfStyle w:val="000000100000" w:firstRow="0" w:lastRow="0" w:firstColumn="0" w:lastColumn="0" w:oddVBand="0" w:evenVBand="0" w:oddHBand="1" w:evenHBand="0" w:firstRowFirstColumn="0" w:firstRowLastColumn="0" w:lastRowFirstColumn="0" w:lastRowLastColumn="0"/>
            </w:pPr>
            <w:r>
              <w:t>Education provider / RTO</w:t>
            </w:r>
          </w:p>
        </w:tc>
      </w:tr>
      <w:tr w:rsidR="00CE4A45" w14:paraId="13B2C1D5" w14:textId="7DE5E016" w:rsidTr="0062230C">
        <w:tc>
          <w:tcPr>
            <w:cnfStyle w:val="001000000000" w:firstRow="0" w:lastRow="0" w:firstColumn="1" w:lastColumn="0" w:oddVBand="0" w:evenVBand="0" w:oddHBand="0" w:evenHBand="0" w:firstRowFirstColumn="0" w:firstRowLastColumn="0" w:lastRowFirstColumn="0" w:lastRowLastColumn="0"/>
            <w:tcW w:w="3207" w:type="dxa"/>
            <w:vAlign w:val="center"/>
          </w:tcPr>
          <w:p w14:paraId="7684A86A" w14:textId="070B7BAD" w:rsidR="00CE4A45" w:rsidRPr="00F9483C" w:rsidRDefault="00CE4A45" w:rsidP="00CE4A45">
            <w:pPr>
              <w:pStyle w:val="TableText"/>
              <w:rPr>
                <w:b w:val="0"/>
                <w:bCs/>
              </w:rPr>
            </w:pPr>
            <w:r w:rsidRPr="00F9483C">
              <w:rPr>
                <w:b w:val="0"/>
              </w:rPr>
              <w:t>Peter Green</w:t>
            </w:r>
          </w:p>
        </w:tc>
        <w:tc>
          <w:tcPr>
            <w:tcW w:w="3207" w:type="dxa"/>
            <w:vAlign w:val="center"/>
          </w:tcPr>
          <w:p w14:paraId="5A3DE623" w14:textId="78C2AB32" w:rsidR="00CE4A45" w:rsidRPr="00F9483C" w:rsidRDefault="00CE4A45" w:rsidP="00CE4A45">
            <w:pPr>
              <w:pStyle w:val="TableText"/>
              <w:cnfStyle w:val="000000000000" w:firstRow="0" w:lastRow="0" w:firstColumn="0" w:lastColumn="0" w:oddVBand="0" w:evenVBand="0" w:oddHBand="0" w:evenHBand="0" w:firstRowFirstColumn="0" w:firstRowLastColumn="0" w:lastRowFirstColumn="0" w:lastRowLastColumn="0"/>
            </w:pPr>
            <w:r w:rsidRPr="00F9483C">
              <w:t>Transtegic</w:t>
            </w:r>
          </w:p>
        </w:tc>
        <w:tc>
          <w:tcPr>
            <w:tcW w:w="3207" w:type="dxa"/>
          </w:tcPr>
          <w:p w14:paraId="76D2B542" w14:textId="17E26D25" w:rsidR="00CE4A45" w:rsidRPr="00F9483C" w:rsidRDefault="00CE4A45" w:rsidP="00CE4A45">
            <w:pPr>
              <w:pStyle w:val="TableText"/>
              <w:cnfStyle w:val="000000000000" w:firstRow="0" w:lastRow="0" w:firstColumn="0" w:lastColumn="0" w:oddVBand="0" w:evenVBand="0" w:oddHBand="0" w:evenHBand="0" w:firstRowFirstColumn="0" w:firstRowLastColumn="0" w:lastRowFirstColumn="0" w:lastRowLastColumn="0"/>
            </w:pPr>
            <w:r w:rsidRPr="0002340D">
              <w:t>Education provider / RTO</w:t>
            </w:r>
          </w:p>
        </w:tc>
      </w:tr>
      <w:tr w:rsidR="00CE4A45" w14:paraId="7321EA37" w14:textId="0C809C31" w:rsidTr="00622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center"/>
          </w:tcPr>
          <w:p w14:paraId="13724065" w14:textId="67392207" w:rsidR="00CE4A45" w:rsidRPr="00F9483C" w:rsidRDefault="00CE4A45" w:rsidP="00CE4A45">
            <w:pPr>
              <w:pStyle w:val="TableText"/>
              <w:rPr>
                <w:b w:val="0"/>
                <w:bCs/>
              </w:rPr>
            </w:pPr>
            <w:r w:rsidRPr="00F9483C">
              <w:rPr>
                <w:b w:val="0"/>
              </w:rPr>
              <w:t>Amanda Way</w:t>
            </w:r>
          </w:p>
        </w:tc>
        <w:tc>
          <w:tcPr>
            <w:tcW w:w="3207" w:type="dxa"/>
            <w:vAlign w:val="center"/>
          </w:tcPr>
          <w:p w14:paraId="211D1100" w14:textId="1B7D7085" w:rsidR="00CE4A45" w:rsidRPr="00F9483C" w:rsidRDefault="00CE4A45" w:rsidP="00CE4A45">
            <w:pPr>
              <w:pStyle w:val="TableText"/>
              <w:cnfStyle w:val="000000100000" w:firstRow="0" w:lastRow="0" w:firstColumn="0" w:lastColumn="0" w:oddVBand="0" w:evenVBand="0" w:oddHBand="1" w:evenHBand="0" w:firstRowFirstColumn="0" w:firstRowLastColumn="0" w:lastRowFirstColumn="0" w:lastRowLastColumn="0"/>
            </w:pPr>
            <w:r w:rsidRPr="00F9483C">
              <w:t>SRTA</w:t>
            </w:r>
          </w:p>
        </w:tc>
        <w:tc>
          <w:tcPr>
            <w:tcW w:w="3207" w:type="dxa"/>
          </w:tcPr>
          <w:p w14:paraId="3CF4B6FA" w14:textId="11EA29F6" w:rsidR="00CE4A45" w:rsidRPr="00F9483C" w:rsidRDefault="00CE4A45" w:rsidP="00CE4A45">
            <w:pPr>
              <w:pStyle w:val="TableText"/>
              <w:cnfStyle w:val="000000100000" w:firstRow="0" w:lastRow="0" w:firstColumn="0" w:lastColumn="0" w:oddVBand="0" w:evenVBand="0" w:oddHBand="1" w:evenHBand="0" w:firstRowFirstColumn="0" w:firstRowLastColumn="0" w:lastRowFirstColumn="0" w:lastRowLastColumn="0"/>
            </w:pPr>
            <w:r w:rsidRPr="0002340D">
              <w:t>Education provider / RTO</w:t>
            </w:r>
          </w:p>
        </w:tc>
      </w:tr>
      <w:tr w:rsidR="00CE4A45" w14:paraId="40EAC700" w14:textId="131C70FC" w:rsidTr="0062230C">
        <w:tc>
          <w:tcPr>
            <w:cnfStyle w:val="001000000000" w:firstRow="0" w:lastRow="0" w:firstColumn="1" w:lastColumn="0" w:oddVBand="0" w:evenVBand="0" w:oddHBand="0" w:evenHBand="0" w:firstRowFirstColumn="0" w:firstRowLastColumn="0" w:lastRowFirstColumn="0" w:lastRowLastColumn="0"/>
            <w:tcW w:w="3207" w:type="dxa"/>
            <w:vAlign w:val="center"/>
          </w:tcPr>
          <w:p w14:paraId="05D75FC7" w14:textId="5FD30F75" w:rsidR="00CE4A45" w:rsidRPr="00F9483C" w:rsidRDefault="00CE4A45" w:rsidP="00CE4A45">
            <w:pPr>
              <w:pStyle w:val="TableText"/>
              <w:rPr>
                <w:b w:val="0"/>
                <w:bCs/>
              </w:rPr>
            </w:pPr>
            <w:r w:rsidRPr="00F9483C">
              <w:rPr>
                <w:b w:val="0"/>
              </w:rPr>
              <w:t>Sarah Jones</w:t>
            </w:r>
          </w:p>
        </w:tc>
        <w:tc>
          <w:tcPr>
            <w:tcW w:w="3207" w:type="dxa"/>
            <w:vAlign w:val="center"/>
          </w:tcPr>
          <w:p w14:paraId="32820446" w14:textId="3AE05B75" w:rsidR="00CE4A45" w:rsidRPr="00F9483C" w:rsidRDefault="00CE4A45" w:rsidP="00CE4A45">
            <w:pPr>
              <w:pStyle w:val="TableText"/>
              <w:cnfStyle w:val="000000000000" w:firstRow="0" w:lastRow="0" w:firstColumn="0" w:lastColumn="0" w:oddVBand="0" w:evenVBand="0" w:oddHBand="0" w:evenHBand="0" w:firstRowFirstColumn="0" w:firstRowLastColumn="0" w:lastRowFirstColumn="0" w:lastRowLastColumn="0"/>
            </w:pPr>
            <w:r w:rsidRPr="00F9483C">
              <w:t>UTAS, University College</w:t>
            </w:r>
          </w:p>
        </w:tc>
        <w:tc>
          <w:tcPr>
            <w:tcW w:w="3207" w:type="dxa"/>
          </w:tcPr>
          <w:p w14:paraId="4527370F" w14:textId="36CD13C2" w:rsidR="00CE4A45" w:rsidRPr="00F9483C" w:rsidRDefault="00CE4A45" w:rsidP="00CE4A45">
            <w:pPr>
              <w:pStyle w:val="TableText"/>
              <w:cnfStyle w:val="000000000000" w:firstRow="0" w:lastRow="0" w:firstColumn="0" w:lastColumn="0" w:oddVBand="0" w:evenVBand="0" w:oddHBand="0" w:evenHBand="0" w:firstRowFirstColumn="0" w:firstRowLastColumn="0" w:lastRowFirstColumn="0" w:lastRowLastColumn="0"/>
            </w:pPr>
            <w:r w:rsidRPr="0002340D">
              <w:t>Education provider / RTO</w:t>
            </w:r>
          </w:p>
        </w:tc>
      </w:tr>
      <w:tr w:rsidR="00CE4A45" w14:paraId="652D186F" w14:textId="0C78072E" w:rsidTr="00622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center"/>
          </w:tcPr>
          <w:p w14:paraId="7C3C116E" w14:textId="4C5B4820" w:rsidR="00CE4A45" w:rsidRPr="00F9483C" w:rsidRDefault="00CE4A45" w:rsidP="00CE4A45">
            <w:pPr>
              <w:pStyle w:val="TableText"/>
              <w:rPr>
                <w:b w:val="0"/>
                <w:bCs/>
              </w:rPr>
            </w:pPr>
            <w:r w:rsidRPr="00F9483C">
              <w:rPr>
                <w:b w:val="0"/>
              </w:rPr>
              <w:t>Sean Crane</w:t>
            </w:r>
          </w:p>
        </w:tc>
        <w:tc>
          <w:tcPr>
            <w:tcW w:w="3207" w:type="dxa"/>
            <w:vAlign w:val="center"/>
          </w:tcPr>
          <w:p w14:paraId="277596F6" w14:textId="1EBC6133" w:rsidR="00CE4A45" w:rsidRPr="00F9483C" w:rsidRDefault="00CE4A45" w:rsidP="00CE4A45">
            <w:pPr>
              <w:pStyle w:val="TableText"/>
              <w:cnfStyle w:val="000000100000" w:firstRow="0" w:lastRow="0" w:firstColumn="0" w:lastColumn="0" w:oddVBand="0" w:evenVBand="0" w:oddHBand="1" w:evenHBand="0" w:firstRowFirstColumn="0" w:firstRowLastColumn="0" w:lastRowFirstColumn="0" w:lastRowLastColumn="0"/>
            </w:pPr>
            <w:r w:rsidRPr="00F9483C">
              <w:t>TasTAFE</w:t>
            </w:r>
          </w:p>
        </w:tc>
        <w:tc>
          <w:tcPr>
            <w:tcW w:w="3207" w:type="dxa"/>
          </w:tcPr>
          <w:p w14:paraId="73B8232F" w14:textId="0B6214E6" w:rsidR="00CE4A45" w:rsidRPr="00F9483C" w:rsidRDefault="00CE4A45" w:rsidP="00CE4A45">
            <w:pPr>
              <w:pStyle w:val="TableText"/>
              <w:cnfStyle w:val="000000100000" w:firstRow="0" w:lastRow="0" w:firstColumn="0" w:lastColumn="0" w:oddVBand="0" w:evenVBand="0" w:oddHBand="1" w:evenHBand="0" w:firstRowFirstColumn="0" w:firstRowLastColumn="0" w:lastRowFirstColumn="0" w:lastRowLastColumn="0"/>
            </w:pPr>
            <w:r w:rsidRPr="0002340D">
              <w:t>Education provider / RTO</w:t>
            </w:r>
          </w:p>
        </w:tc>
      </w:tr>
      <w:tr w:rsidR="00CE4A45" w14:paraId="24915F9E" w14:textId="77777777" w:rsidTr="0062230C">
        <w:tc>
          <w:tcPr>
            <w:cnfStyle w:val="001000000000" w:firstRow="0" w:lastRow="0" w:firstColumn="1" w:lastColumn="0" w:oddVBand="0" w:evenVBand="0" w:oddHBand="0" w:evenHBand="0" w:firstRowFirstColumn="0" w:firstRowLastColumn="0" w:lastRowFirstColumn="0" w:lastRowLastColumn="0"/>
            <w:tcW w:w="3207" w:type="dxa"/>
            <w:vAlign w:val="center"/>
          </w:tcPr>
          <w:p w14:paraId="448C0381" w14:textId="4CC88429" w:rsidR="00CE4A45" w:rsidRPr="00F9483C" w:rsidRDefault="00CE4A45" w:rsidP="00CE4A45">
            <w:pPr>
              <w:pStyle w:val="TableText"/>
            </w:pPr>
            <w:r w:rsidRPr="00F9483C">
              <w:rPr>
                <w:b w:val="0"/>
              </w:rPr>
              <w:t>Matthew Dance</w:t>
            </w:r>
          </w:p>
        </w:tc>
        <w:tc>
          <w:tcPr>
            <w:tcW w:w="3207" w:type="dxa"/>
            <w:vAlign w:val="center"/>
          </w:tcPr>
          <w:p w14:paraId="4A6F3657" w14:textId="4382F31C" w:rsidR="00CE4A45" w:rsidRPr="00F9483C" w:rsidRDefault="00CE4A45" w:rsidP="00CE4A45">
            <w:pPr>
              <w:pStyle w:val="TableText"/>
              <w:cnfStyle w:val="000000000000" w:firstRow="0" w:lastRow="0" w:firstColumn="0" w:lastColumn="0" w:oddVBand="0" w:evenVBand="0" w:oddHBand="0" w:evenHBand="0" w:firstRowFirstColumn="0" w:firstRowLastColumn="0" w:lastRowFirstColumn="0" w:lastRowLastColumn="0"/>
            </w:pPr>
            <w:r w:rsidRPr="00F9483C">
              <w:t>Skills Tasmania</w:t>
            </w:r>
          </w:p>
        </w:tc>
        <w:tc>
          <w:tcPr>
            <w:tcW w:w="3207" w:type="dxa"/>
            <w:vAlign w:val="center"/>
          </w:tcPr>
          <w:p w14:paraId="27849693" w14:textId="11B54753" w:rsidR="00CE4A45" w:rsidRPr="0002340D" w:rsidRDefault="00CE4A45" w:rsidP="00CE4A45">
            <w:pPr>
              <w:pStyle w:val="TableText"/>
              <w:cnfStyle w:val="000000000000" w:firstRow="0" w:lastRow="0" w:firstColumn="0" w:lastColumn="0" w:oddVBand="0" w:evenVBand="0" w:oddHBand="0" w:evenHBand="0" w:firstRowFirstColumn="0" w:firstRowLastColumn="0" w:lastRowFirstColumn="0" w:lastRowLastColumn="0"/>
            </w:pPr>
            <w:r>
              <w:t>Government</w:t>
            </w:r>
          </w:p>
        </w:tc>
      </w:tr>
      <w:tr w:rsidR="00CE4A45" w14:paraId="6FA9AFCA" w14:textId="77777777" w:rsidTr="00622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center"/>
          </w:tcPr>
          <w:p w14:paraId="13AD76BB" w14:textId="727DFFEF" w:rsidR="00CE4A45" w:rsidRPr="00F9483C" w:rsidRDefault="00CE4A45" w:rsidP="00CE4A45">
            <w:pPr>
              <w:pStyle w:val="TableText"/>
            </w:pPr>
            <w:r w:rsidRPr="00F9483C">
              <w:rPr>
                <w:b w:val="0"/>
              </w:rPr>
              <w:t>Jessica Jones</w:t>
            </w:r>
          </w:p>
        </w:tc>
        <w:tc>
          <w:tcPr>
            <w:tcW w:w="3207" w:type="dxa"/>
            <w:vAlign w:val="center"/>
          </w:tcPr>
          <w:p w14:paraId="00B0A20E" w14:textId="66D06A49" w:rsidR="00CE4A45" w:rsidRPr="00F9483C" w:rsidRDefault="00CE4A45" w:rsidP="00CE4A45">
            <w:pPr>
              <w:pStyle w:val="TableText"/>
              <w:cnfStyle w:val="000000100000" w:firstRow="0" w:lastRow="0" w:firstColumn="0" w:lastColumn="0" w:oddVBand="0" w:evenVBand="0" w:oddHBand="1" w:evenHBand="0" w:firstRowFirstColumn="0" w:firstRowLastColumn="0" w:lastRowFirstColumn="0" w:lastRowLastColumn="0"/>
            </w:pPr>
            <w:r w:rsidRPr="00F9483C">
              <w:t>Skills Tasmania</w:t>
            </w:r>
          </w:p>
        </w:tc>
        <w:tc>
          <w:tcPr>
            <w:tcW w:w="3207" w:type="dxa"/>
            <w:vAlign w:val="center"/>
          </w:tcPr>
          <w:p w14:paraId="13459675" w14:textId="648A531A" w:rsidR="00CE4A45" w:rsidRPr="0002340D" w:rsidRDefault="00CE4A45" w:rsidP="00CE4A45">
            <w:pPr>
              <w:pStyle w:val="TableText"/>
              <w:cnfStyle w:val="000000100000" w:firstRow="0" w:lastRow="0" w:firstColumn="0" w:lastColumn="0" w:oddVBand="0" w:evenVBand="0" w:oddHBand="1" w:evenHBand="0" w:firstRowFirstColumn="0" w:firstRowLastColumn="0" w:lastRowFirstColumn="0" w:lastRowLastColumn="0"/>
            </w:pPr>
            <w:r>
              <w:t>Government</w:t>
            </w:r>
          </w:p>
        </w:tc>
      </w:tr>
    </w:tbl>
    <w:p w14:paraId="6C9C7E66" w14:textId="77777777" w:rsidR="00C74E25" w:rsidRPr="00441621" w:rsidRDefault="00C74E25" w:rsidP="00C74E25"/>
    <w:p w14:paraId="7DB00C72" w14:textId="7DAFE394" w:rsidR="00D557C3" w:rsidRPr="00825D5E" w:rsidRDefault="00D557C3" w:rsidP="005F3456">
      <w:pPr>
        <w:pStyle w:val="UnnumberedHeading1"/>
      </w:pPr>
      <w:bookmarkStart w:id="171" w:name="_Attachment_B_–"/>
      <w:bookmarkStart w:id="172" w:name="_Toc23836338"/>
      <w:bookmarkEnd w:id="171"/>
      <w:r w:rsidRPr="00825D5E">
        <w:lastRenderedPageBreak/>
        <w:t xml:space="preserve">Attachment </w:t>
      </w:r>
      <w:r w:rsidR="00787457">
        <w:t>B</w:t>
      </w:r>
      <w:r w:rsidRPr="00825D5E">
        <w:t xml:space="preserve"> – </w:t>
      </w:r>
      <w:r w:rsidR="00C74E25" w:rsidRPr="00825D5E">
        <w:t>Survey Questions</w:t>
      </w:r>
      <w:bookmarkEnd w:id="172"/>
    </w:p>
    <w:p w14:paraId="40F0492A" w14:textId="70D5C71B" w:rsidR="00C74E25" w:rsidRPr="00825D5E" w:rsidRDefault="00D72DF5" w:rsidP="00EC1B3F">
      <w:pPr>
        <w:pStyle w:val="ListNumber"/>
        <w:numPr>
          <w:ilvl w:val="0"/>
          <w:numId w:val="32"/>
        </w:numPr>
        <w:ind w:hanging="502"/>
      </w:pPr>
      <w:r w:rsidRPr="00825D5E">
        <w:t>What is the name of your organisation?</w:t>
      </w:r>
    </w:p>
    <w:p w14:paraId="544446D3" w14:textId="1DB0641C" w:rsidR="00D72DF5" w:rsidRPr="00825D5E" w:rsidRDefault="00D72DF5" w:rsidP="00EC1B3F">
      <w:pPr>
        <w:pStyle w:val="ListNumber"/>
      </w:pPr>
      <w:r w:rsidRPr="00825D5E">
        <w:t>What is your job role in the organisation?</w:t>
      </w:r>
    </w:p>
    <w:p w14:paraId="12FD4976" w14:textId="6F922F64" w:rsidR="00D72DF5" w:rsidRDefault="00D72DF5" w:rsidP="00EC1B3F">
      <w:pPr>
        <w:pStyle w:val="ListNumber"/>
      </w:pPr>
      <w:r w:rsidRPr="00825D5E">
        <w:t>In which region(s) of Tasmania does</w:t>
      </w:r>
      <w:r>
        <w:t xml:space="preserve"> your organisation undertake mining activities?</w:t>
      </w:r>
    </w:p>
    <w:p w14:paraId="5630F6A7" w14:textId="1EE954D8" w:rsidR="00D72DF5" w:rsidRPr="00EC1B3F" w:rsidRDefault="00EC1B3F" w:rsidP="00481FD1">
      <w:pPr>
        <w:pStyle w:val="listbulletdash"/>
        <w:numPr>
          <w:ilvl w:val="0"/>
          <w:numId w:val="37"/>
        </w:numPr>
        <w:ind w:left="851" w:hanging="284"/>
      </w:pPr>
      <w:r w:rsidRPr="00481FD1">
        <w:t>North</w:t>
      </w:r>
      <w:r w:rsidRPr="00EC1B3F">
        <w:t>-West</w:t>
      </w:r>
    </w:p>
    <w:p w14:paraId="7868A860" w14:textId="130CC91B" w:rsidR="00EC1B3F" w:rsidRPr="00EC1B3F" w:rsidRDefault="00EC1B3F" w:rsidP="00481FD1">
      <w:pPr>
        <w:pStyle w:val="listbulletdash"/>
        <w:numPr>
          <w:ilvl w:val="0"/>
          <w:numId w:val="37"/>
        </w:numPr>
        <w:ind w:left="851" w:hanging="284"/>
      </w:pPr>
      <w:r w:rsidRPr="00EC1B3F">
        <w:t>West</w:t>
      </w:r>
    </w:p>
    <w:p w14:paraId="6C8BD2BE" w14:textId="2EAF5F17" w:rsidR="00EC1B3F" w:rsidRPr="00EC1B3F" w:rsidRDefault="00EC1B3F" w:rsidP="00481FD1">
      <w:pPr>
        <w:pStyle w:val="listbulletdash"/>
        <w:numPr>
          <w:ilvl w:val="0"/>
          <w:numId w:val="37"/>
        </w:numPr>
        <w:ind w:left="851" w:hanging="284"/>
      </w:pPr>
      <w:r w:rsidRPr="00EC1B3F">
        <w:t>North-East</w:t>
      </w:r>
    </w:p>
    <w:p w14:paraId="18DFC35C" w14:textId="78324BB9" w:rsidR="00EC1B3F" w:rsidRDefault="00EC1B3F" w:rsidP="00481FD1">
      <w:pPr>
        <w:pStyle w:val="listbulletdash"/>
        <w:numPr>
          <w:ilvl w:val="0"/>
          <w:numId w:val="37"/>
        </w:numPr>
        <w:ind w:left="851" w:hanging="284"/>
      </w:pPr>
      <w:r w:rsidRPr="00EC1B3F">
        <w:t>South</w:t>
      </w:r>
    </w:p>
    <w:p w14:paraId="3C8FE0A8" w14:textId="5D6943FB" w:rsidR="00EC1B3F" w:rsidRDefault="0010028E" w:rsidP="00EC1B3F">
      <w:pPr>
        <w:pStyle w:val="ListNumber"/>
      </w:pPr>
      <w:r>
        <w:t xml:space="preserve">How </w:t>
      </w:r>
      <w:r w:rsidR="0032479B">
        <w:t>many</w:t>
      </w:r>
      <w:r>
        <w:t xml:space="preserve"> people did your organisation employ in Tasmania as of 30 June 2019?</w:t>
      </w:r>
    </w:p>
    <w:p w14:paraId="383D8741" w14:textId="4B7375C8" w:rsidR="0010028E" w:rsidRDefault="0010028E" w:rsidP="00481FD1">
      <w:pPr>
        <w:pStyle w:val="listbulletdash"/>
        <w:numPr>
          <w:ilvl w:val="0"/>
          <w:numId w:val="37"/>
        </w:numPr>
        <w:ind w:left="851" w:hanging="284"/>
      </w:pPr>
      <w:r>
        <w:t>Number of people employed (head count)</w:t>
      </w:r>
    </w:p>
    <w:p w14:paraId="277A5033" w14:textId="2367C3AD" w:rsidR="0010028E" w:rsidRDefault="0010028E" w:rsidP="00481FD1">
      <w:pPr>
        <w:pStyle w:val="listbulletdash"/>
        <w:numPr>
          <w:ilvl w:val="0"/>
          <w:numId w:val="37"/>
        </w:numPr>
        <w:ind w:left="851" w:hanging="284"/>
      </w:pPr>
      <w:r>
        <w:t>Full time equivalents (FTE) employed</w:t>
      </w:r>
    </w:p>
    <w:p w14:paraId="5ECA8C27" w14:textId="1719170E" w:rsidR="0010028E" w:rsidRDefault="0010028E" w:rsidP="0010028E">
      <w:pPr>
        <w:pStyle w:val="ListNumber"/>
      </w:pPr>
      <w:r>
        <w:t>Please estimate what proportion of your workforce as at 30 June 2019 were direct employees, workers provided by a labour hire firm or contractors?</w:t>
      </w:r>
    </w:p>
    <w:p w14:paraId="3896210B" w14:textId="4FADD306" w:rsidR="0010028E" w:rsidRDefault="0010028E" w:rsidP="0010028E">
      <w:pPr>
        <w:pStyle w:val="ListNumber"/>
      </w:pPr>
      <w:r>
        <w:t>Do you expect the size of your workforce to grow, remain the same or decline over the next three years?</w:t>
      </w:r>
    </w:p>
    <w:p w14:paraId="5A85764E" w14:textId="301C40C4" w:rsidR="0010028E" w:rsidRDefault="0010028E" w:rsidP="0010028E">
      <w:pPr>
        <w:pStyle w:val="ListNumber"/>
      </w:pPr>
      <w:r>
        <w:t>How difficult or easy has it been for your organisation to fill vacancies in your workforce in the last year?</w:t>
      </w:r>
    </w:p>
    <w:p w14:paraId="46ED6D81" w14:textId="1AB75FBA" w:rsidR="0010028E" w:rsidRDefault="0010028E" w:rsidP="00481FD1">
      <w:pPr>
        <w:pStyle w:val="listbulletdash"/>
        <w:numPr>
          <w:ilvl w:val="0"/>
          <w:numId w:val="37"/>
        </w:numPr>
        <w:ind w:left="851" w:hanging="284"/>
      </w:pPr>
      <w:r>
        <w:t>Managers</w:t>
      </w:r>
    </w:p>
    <w:p w14:paraId="07E0269C" w14:textId="418BB6B8" w:rsidR="0010028E" w:rsidRDefault="0010028E" w:rsidP="00481FD1">
      <w:pPr>
        <w:pStyle w:val="listbulletdash"/>
        <w:numPr>
          <w:ilvl w:val="0"/>
          <w:numId w:val="37"/>
        </w:numPr>
        <w:ind w:left="851" w:hanging="284"/>
      </w:pPr>
      <w:r>
        <w:t>Professionals</w:t>
      </w:r>
    </w:p>
    <w:p w14:paraId="27ED86B7" w14:textId="79C00264" w:rsidR="0010028E" w:rsidRDefault="0010028E" w:rsidP="00481FD1">
      <w:pPr>
        <w:pStyle w:val="listbulletdash"/>
        <w:numPr>
          <w:ilvl w:val="0"/>
          <w:numId w:val="37"/>
        </w:numPr>
        <w:ind w:left="851" w:hanging="284"/>
      </w:pPr>
      <w:r>
        <w:t>Technicians and Trades Workers</w:t>
      </w:r>
    </w:p>
    <w:p w14:paraId="5628ADB0" w14:textId="0F65F769" w:rsidR="0010028E" w:rsidRDefault="0010028E" w:rsidP="00481FD1">
      <w:pPr>
        <w:pStyle w:val="listbulletdash"/>
        <w:numPr>
          <w:ilvl w:val="0"/>
          <w:numId w:val="37"/>
        </w:numPr>
        <w:ind w:left="851" w:hanging="284"/>
      </w:pPr>
      <w:r>
        <w:t>Clerical and Administrative Workers</w:t>
      </w:r>
    </w:p>
    <w:p w14:paraId="55D1206E" w14:textId="1406B8B5" w:rsidR="0010028E" w:rsidRDefault="0010028E" w:rsidP="00481FD1">
      <w:pPr>
        <w:pStyle w:val="listbulletdash"/>
        <w:numPr>
          <w:ilvl w:val="0"/>
          <w:numId w:val="37"/>
        </w:numPr>
        <w:ind w:left="851" w:hanging="284"/>
      </w:pPr>
      <w:r>
        <w:t>Machinery Operators and Drivers</w:t>
      </w:r>
    </w:p>
    <w:p w14:paraId="60E8AED3" w14:textId="2843377B" w:rsidR="0010028E" w:rsidRDefault="0010028E" w:rsidP="00481FD1">
      <w:pPr>
        <w:pStyle w:val="listbulletdash"/>
        <w:numPr>
          <w:ilvl w:val="0"/>
          <w:numId w:val="37"/>
        </w:numPr>
        <w:ind w:left="851" w:hanging="284"/>
      </w:pPr>
      <w:r>
        <w:t>Labourers</w:t>
      </w:r>
    </w:p>
    <w:p w14:paraId="35B442D9" w14:textId="7DA9D589" w:rsidR="0010028E" w:rsidRDefault="0010028E" w:rsidP="0010028E">
      <w:pPr>
        <w:pStyle w:val="ListNumber"/>
      </w:pPr>
      <w:r>
        <w:t>Did your organisation experience difficulty in filling vacancies in your workforce for any of the following reasons?</w:t>
      </w:r>
    </w:p>
    <w:p w14:paraId="7771F76E" w14:textId="1F32BCDC" w:rsidR="0010028E" w:rsidRDefault="0010028E" w:rsidP="00481FD1">
      <w:pPr>
        <w:pStyle w:val="listbulletdash"/>
        <w:numPr>
          <w:ilvl w:val="0"/>
          <w:numId w:val="37"/>
        </w:numPr>
        <w:ind w:left="851" w:hanging="284"/>
      </w:pPr>
      <w:r>
        <w:t>Lack of applicants generally</w:t>
      </w:r>
    </w:p>
    <w:p w14:paraId="78840A93" w14:textId="6FAFCA95" w:rsidR="0010028E" w:rsidRDefault="0010028E" w:rsidP="00481FD1">
      <w:pPr>
        <w:pStyle w:val="listbulletdash"/>
        <w:numPr>
          <w:ilvl w:val="0"/>
          <w:numId w:val="37"/>
        </w:numPr>
        <w:ind w:left="851" w:hanging="284"/>
      </w:pPr>
      <w:r>
        <w:t>Lack of skilled and experienced applicants</w:t>
      </w:r>
    </w:p>
    <w:p w14:paraId="45FB9AFB" w14:textId="26B57E41" w:rsidR="0010028E" w:rsidRDefault="0010028E" w:rsidP="00481FD1">
      <w:pPr>
        <w:pStyle w:val="listbulletdash"/>
        <w:numPr>
          <w:ilvl w:val="0"/>
          <w:numId w:val="37"/>
        </w:numPr>
        <w:ind w:left="851" w:hanging="284"/>
      </w:pPr>
      <w:r>
        <w:t>Need for applicants to comply with regulatory requirements</w:t>
      </w:r>
    </w:p>
    <w:p w14:paraId="1BB942A1" w14:textId="5687B2F7" w:rsidR="0010028E" w:rsidRDefault="0010028E" w:rsidP="00481FD1">
      <w:pPr>
        <w:pStyle w:val="listbulletdash"/>
        <w:numPr>
          <w:ilvl w:val="0"/>
          <w:numId w:val="37"/>
        </w:numPr>
        <w:ind w:left="851" w:hanging="284"/>
      </w:pPr>
      <w:r>
        <w:t>Lack of family orientated opportunities</w:t>
      </w:r>
    </w:p>
    <w:p w14:paraId="2EE99129" w14:textId="3D51418C" w:rsidR="0010028E" w:rsidRDefault="0010028E" w:rsidP="00481FD1">
      <w:pPr>
        <w:pStyle w:val="listbulletdash"/>
        <w:numPr>
          <w:ilvl w:val="0"/>
          <w:numId w:val="37"/>
        </w:numPr>
        <w:ind w:left="851" w:hanging="284"/>
      </w:pPr>
      <w:r>
        <w:t>Salary levels offered</w:t>
      </w:r>
    </w:p>
    <w:p w14:paraId="714C7B96" w14:textId="0304194D" w:rsidR="0010028E" w:rsidRDefault="0010028E" w:rsidP="00481FD1">
      <w:pPr>
        <w:pStyle w:val="listbulletdash"/>
        <w:numPr>
          <w:ilvl w:val="0"/>
          <w:numId w:val="37"/>
        </w:numPr>
        <w:ind w:left="851" w:hanging="284"/>
      </w:pPr>
      <w:r>
        <w:t>Terms and conditions of employment</w:t>
      </w:r>
    </w:p>
    <w:p w14:paraId="4F4B5C0A" w14:textId="4B0123F9" w:rsidR="0010028E" w:rsidRDefault="0010028E" w:rsidP="00481FD1">
      <w:pPr>
        <w:pStyle w:val="listbulletdash"/>
        <w:numPr>
          <w:ilvl w:val="0"/>
          <w:numId w:val="37"/>
        </w:numPr>
        <w:ind w:left="851" w:hanging="284"/>
      </w:pPr>
      <w:r>
        <w:t>Nature of the work</w:t>
      </w:r>
    </w:p>
    <w:p w14:paraId="05CDF0A9" w14:textId="2A2DE076" w:rsidR="0010028E" w:rsidRDefault="0010028E" w:rsidP="0010028E">
      <w:pPr>
        <w:pStyle w:val="ListNumber"/>
      </w:pPr>
      <w:r>
        <w:t>How difficult or easy has it been for your organisation to retain the following workers in your workforce in the last year?</w:t>
      </w:r>
    </w:p>
    <w:p w14:paraId="14B57467" w14:textId="77777777" w:rsidR="0010028E" w:rsidRDefault="0010028E" w:rsidP="00481FD1">
      <w:pPr>
        <w:pStyle w:val="listbulletdash"/>
        <w:numPr>
          <w:ilvl w:val="0"/>
          <w:numId w:val="37"/>
        </w:numPr>
        <w:ind w:left="851" w:hanging="284"/>
      </w:pPr>
      <w:r>
        <w:t>Managers</w:t>
      </w:r>
    </w:p>
    <w:p w14:paraId="103F45D9" w14:textId="77777777" w:rsidR="0010028E" w:rsidRDefault="0010028E" w:rsidP="00481FD1">
      <w:pPr>
        <w:pStyle w:val="listbulletdash"/>
        <w:numPr>
          <w:ilvl w:val="0"/>
          <w:numId w:val="37"/>
        </w:numPr>
        <w:ind w:left="851" w:hanging="284"/>
      </w:pPr>
      <w:r>
        <w:t>Professionals</w:t>
      </w:r>
    </w:p>
    <w:p w14:paraId="666752AC" w14:textId="77777777" w:rsidR="0010028E" w:rsidRDefault="0010028E" w:rsidP="00481FD1">
      <w:pPr>
        <w:pStyle w:val="listbulletdash"/>
        <w:numPr>
          <w:ilvl w:val="0"/>
          <w:numId w:val="37"/>
        </w:numPr>
        <w:ind w:left="851" w:hanging="284"/>
      </w:pPr>
      <w:r>
        <w:t>Technicians and Trades Workers</w:t>
      </w:r>
    </w:p>
    <w:p w14:paraId="24DB7D35" w14:textId="77777777" w:rsidR="0010028E" w:rsidRDefault="0010028E" w:rsidP="00481FD1">
      <w:pPr>
        <w:pStyle w:val="listbulletdash"/>
        <w:numPr>
          <w:ilvl w:val="0"/>
          <w:numId w:val="37"/>
        </w:numPr>
        <w:ind w:left="851" w:hanging="284"/>
      </w:pPr>
      <w:r>
        <w:t>Clerical and Administrative Workers</w:t>
      </w:r>
    </w:p>
    <w:p w14:paraId="135F233D" w14:textId="77777777" w:rsidR="0010028E" w:rsidRDefault="0010028E" w:rsidP="00481FD1">
      <w:pPr>
        <w:pStyle w:val="listbulletdash"/>
        <w:numPr>
          <w:ilvl w:val="0"/>
          <w:numId w:val="37"/>
        </w:numPr>
        <w:ind w:left="851" w:hanging="284"/>
      </w:pPr>
      <w:r>
        <w:t>Machinery Operators and Drivers</w:t>
      </w:r>
    </w:p>
    <w:p w14:paraId="3D08C68A" w14:textId="3F0F1A52" w:rsidR="0010028E" w:rsidRDefault="0010028E" w:rsidP="00481FD1">
      <w:pPr>
        <w:pStyle w:val="listbulletdash"/>
        <w:numPr>
          <w:ilvl w:val="0"/>
          <w:numId w:val="37"/>
        </w:numPr>
        <w:ind w:left="851" w:hanging="284"/>
      </w:pPr>
      <w:r>
        <w:lastRenderedPageBreak/>
        <w:t>Labourers</w:t>
      </w:r>
    </w:p>
    <w:p w14:paraId="6DADBBD6" w14:textId="3AFAEF57" w:rsidR="0010028E" w:rsidRDefault="0010028E" w:rsidP="0010028E">
      <w:pPr>
        <w:pStyle w:val="ListNumber"/>
      </w:pPr>
      <w:r>
        <w:t>Did your organisation experience difficulty in retaining workers for any of the following reasons?</w:t>
      </w:r>
    </w:p>
    <w:p w14:paraId="6015E222" w14:textId="77777777" w:rsidR="0010028E" w:rsidRDefault="0010028E" w:rsidP="00481FD1">
      <w:pPr>
        <w:pStyle w:val="listbulletdash"/>
        <w:numPr>
          <w:ilvl w:val="0"/>
          <w:numId w:val="37"/>
        </w:numPr>
        <w:ind w:left="851" w:hanging="284"/>
      </w:pPr>
      <w:r>
        <w:t>Lack of applicants generally</w:t>
      </w:r>
    </w:p>
    <w:p w14:paraId="42912870" w14:textId="77777777" w:rsidR="0010028E" w:rsidRDefault="0010028E" w:rsidP="00481FD1">
      <w:pPr>
        <w:pStyle w:val="listbulletdash"/>
        <w:numPr>
          <w:ilvl w:val="0"/>
          <w:numId w:val="37"/>
        </w:numPr>
        <w:ind w:left="851" w:hanging="284"/>
      </w:pPr>
      <w:r>
        <w:t>Lack of skilled and experienced applicants</w:t>
      </w:r>
    </w:p>
    <w:p w14:paraId="55C934B7" w14:textId="77777777" w:rsidR="0010028E" w:rsidRDefault="0010028E" w:rsidP="00481FD1">
      <w:pPr>
        <w:pStyle w:val="listbulletdash"/>
        <w:numPr>
          <w:ilvl w:val="0"/>
          <w:numId w:val="37"/>
        </w:numPr>
        <w:ind w:left="851" w:hanging="284"/>
      </w:pPr>
      <w:r>
        <w:t>Need for applicants to comply with regulatory requirements</w:t>
      </w:r>
    </w:p>
    <w:p w14:paraId="22F83D21" w14:textId="77777777" w:rsidR="0010028E" w:rsidRDefault="0010028E" w:rsidP="00481FD1">
      <w:pPr>
        <w:pStyle w:val="listbulletdash"/>
        <w:numPr>
          <w:ilvl w:val="0"/>
          <w:numId w:val="37"/>
        </w:numPr>
        <w:ind w:left="851" w:hanging="284"/>
      </w:pPr>
      <w:r>
        <w:t>Lack of family orientated opportunities</w:t>
      </w:r>
    </w:p>
    <w:p w14:paraId="284DDD00" w14:textId="77777777" w:rsidR="0010028E" w:rsidRDefault="0010028E" w:rsidP="00481FD1">
      <w:pPr>
        <w:pStyle w:val="listbulletdash"/>
        <w:numPr>
          <w:ilvl w:val="0"/>
          <w:numId w:val="37"/>
        </w:numPr>
        <w:ind w:left="851" w:hanging="284"/>
      </w:pPr>
      <w:r>
        <w:t>Salary levels offered</w:t>
      </w:r>
    </w:p>
    <w:p w14:paraId="4E2423D0" w14:textId="77777777" w:rsidR="0010028E" w:rsidRDefault="0010028E" w:rsidP="00481FD1">
      <w:pPr>
        <w:pStyle w:val="listbulletdash"/>
        <w:numPr>
          <w:ilvl w:val="0"/>
          <w:numId w:val="37"/>
        </w:numPr>
        <w:ind w:left="851" w:hanging="284"/>
      </w:pPr>
      <w:r>
        <w:t>Terms and conditions of employment</w:t>
      </w:r>
    </w:p>
    <w:p w14:paraId="41718272" w14:textId="28E90343" w:rsidR="0010028E" w:rsidRDefault="0010028E" w:rsidP="00481FD1">
      <w:pPr>
        <w:pStyle w:val="listbulletdash"/>
        <w:numPr>
          <w:ilvl w:val="0"/>
          <w:numId w:val="37"/>
        </w:numPr>
        <w:ind w:left="851" w:hanging="284"/>
      </w:pPr>
      <w:r>
        <w:t>Nature of the work</w:t>
      </w:r>
    </w:p>
    <w:p w14:paraId="0E2EF470" w14:textId="6FC568B9" w:rsidR="0010028E" w:rsidRDefault="0010028E" w:rsidP="0010028E">
      <w:pPr>
        <w:pStyle w:val="ListNumber"/>
      </w:pPr>
      <w:r>
        <w:t>How challenging do you expect the following workforce development issues to be over the next three years?</w:t>
      </w:r>
    </w:p>
    <w:p w14:paraId="034F8469" w14:textId="71EC6631" w:rsidR="0010028E" w:rsidRDefault="00825D5E" w:rsidP="00481FD1">
      <w:pPr>
        <w:pStyle w:val="listbulletdash"/>
        <w:numPr>
          <w:ilvl w:val="0"/>
          <w:numId w:val="37"/>
        </w:numPr>
        <w:ind w:left="851" w:hanging="284"/>
      </w:pPr>
      <w:r w:rsidRPr="00825D5E">
        <w:t>Recruiting workers who have not previously worked in the industry</w:t>
      </w:r>
    </w:p>
    <w:p w14:paraId="15194E2E" w14:textId="3935A1C8" w:rsidR="00825D5E" w:rsidRDefault="00825D5E" w:rsidP="00481FD1">
      <w:pPr>
        <w:pStyle w:val="listbulletdash"/>
        <w:numPr>
          <w:ilvl w:val="0"/>
          <w:numId w:val="37"/>
        </w:numPr>
        <w:ind w:left="851" w:hanging="284"/>
      </w:pPr>
      <w:r w:rsidRPr="00825D5E">
        <w:t>Filling vacancies from the existing workforce</w:t>
      </w:r>
    </w:p>
    <w:p w14:paraId="598C50C5" w14:textId="5F4BA214" w:rsidR="00825D5E" w:rsidRDefault="00825D5E" w:rsidP="00481FD1">
      <w:pPr>
        <w:pStyle w:val="listbulletdash"/>
        <w:numPr>
          <w:ilvl w:val="0"/>
          <w:numId w:val="37"/>
        </w:numPr>
        <w:ind w:left="851" w:hanging="284"/>
      </w:pPr>
      <w:r w:rsidRPr="00825D5E">
        <w:t>An ageing workforce</w:t>
      </w:r>
    </w:p>
    <w:p w14:paraId="7395B5E0" w14:textId="03D1CB1E" w:rsidR="00825D5E" w:rsidRDefault="00825D5E" w:rsidP="00481FD1">
      <w:pPr>
        <w:pStyle w:val="listbulletdash"/>
        <w:numPr>
          <w:ilvl w:val="0"/>
          <w:numId w:val="37"/>
        </w:numPr>
        <w:ind w:left="851" w:hanging="284"/>
      </w:pPr>
      <w:r w:rsidRPr="00825D5E">
        <w:t>Low workforce literacy and numeracy skills</w:t>
      </w:r>
    </w:p>
    <w:p w14:paraId="2269F8DE" w14:textId="20AA3E58" w:rsidR="00825D5E" w:rsidRDefault="00825D5E" w:rsidP="00481FD1">
      <w:pPr>
        <w:pStyle w:val="listbulletdash"/>
        <w:numPr>
          <w:ilvl w:val="0"/>
          <w:numId w:val="37"/>
        </w:numPr>
        <w:ind w:left="851" w:hanging="284"/>
      </w:pPr>
      <w:r w:rsidRPr="00825D5E">
        <w:t>Meeting all workforce regulatory compliance requirements (e.g. WHS)</w:t>
      </w:r>
    </w:p>
    <w:p w14:paraId="3E26761C" w14:textId="00FB7DB0" w:rsidR="00825D5E" w:rsidRDefault="00825D5E" w:rsidP="00481FD1">
      <w:pPr>
        <w:pStyle w:val="listbulletdash"/>
        <w:numPr>
          <w:ilvl w:val="0"/>
          <w:numId w:val="37"/>
        </w:numPr>
        <w:ind w:left="851" w:hanging="284"/>
      </w:pPr>
      <w:r w:rsidRPr="00825D5E">
        <w:t>Managing digital disruption of business processes by new technology (e.g. automation)</w:t>
      </w:r>
    </w:p>
    <w:p w14:paraId="4B1182B5" w14:textId="103BF5EA" w:rsidR="00825D5E" w:rsidRDefault="00825D5E" w:rsidP="00481FD1">
      <w:pPr>
        <w:pStyle w:val="listbulletdash"/>
        <w:numPr>
          <w:ilvl w:val="0"/>
          <w:numId w:val="37"/>
        </w:numPr>
        <w:ind w:left="851" w:hanging="284"/>
      </w:pPr>
      <w:r w:rsidRPr="00825D5E">
        <w:t>Partnering with education / training providers</w:t>
      </w:r>
    </w:p>
    <w:p w14:paraId="6755D5BE" w14:textId="2AE5B563" w:rsidR="00825D5E" w:rsidRDefault="00825D5E" w:rsidP="00481FD1">
      <w:pPr>
        <w:pStyle w:val="listbulletdash"/>
        <w:numPr>
          <w:ilvl w:val="0"/>
          <w:numId w:val="37"/>
        </w:numPr>
        <w:ind w:left="851" w:hanging="284"/>
      </w:pPr>
      <w:r w:rsidRPr="00825D5E">
        <w:t>Accessing training that fits your business model</w:t>
      </w:r>
    </w:p>
    <w:p w14:paraId="496C7107" w14:textId="27F91EB1" w:rsidR="00825D5E" w:rsidRDefault="00825D5E" w:rsidP="00481FD1">
      <w:pPr>
        <w:pStyle w:val="listbulletdash"/>
        <w:numPr>
          <w:ilvl w:val="0"/>
          <w:numId w:val="37"/>
        </w:numPr>
        <w:ind w:left="851" w:hanging="284"/>
      </w:pPr>
      <w:r w:rsidRPr="00825D5E">
        <w:t>Retaining corporate knowledge</w:t>
      </w:r>
    </w:p>
    <w:p w14:paraId="1B1B245A" w14:textId="08913A28" w:rsidR="00825D5E" w:rsidRDefault="00825D5E" w:rsidP="00481FD1">
      <w:pPr>
        <w:pStyle w:val="listbulletdash"/>
        <w:numPr>
          <w:ilvl w:val="0"/>
          <w:numId w:val="37"/>
        </w:numPr>
        <w:ind w:left="851" w:hanging="284"/>
      </w:pPr>
      <w:r w:rsidRPr="00825D5E">
        <w:t>Attracting workers from outside the region</w:t>
      </w:r>
    </w:p>
    <w:p w14:paraId="4670C7AE" w14:textId="3DAD2D76" w:rsidR="00825D5E" w:rsidRDefault="00825D5E" w:rsidP="00481FD1">
      <w:pPr>
        <w:pStyle w:val="listbulletdash"/>
        <w:numPr>
          <w:ilvl w:val="0"/>
          <w:numId w:val="37"/>
        </w:numPr>
        <w:ind w:left="851" w:hanging="284"/>
      </w:pPr>
      <w:r w:rsidRPr="00825D5E">
        <w:t>Retaining new entrants</w:t>
      </w:r>
    </w:p>
    <w:p w14:paraId="37B5D053" w14:textId="2846B3C3" w:rsidR="00825D5E" w:rsidRDefault="00825D5E" w:rsidP="00481FD1">
      <w:pPr>
        <w:pStyle w:val="listbulletdash"/>
        <w:numPr>
          <w:ilvl w:val="0"/>
          <w:numId w:val="37"/>
        </w:numPr>
        <w:ind w:left="851" w:hanging="284"/>
      </w:pPr>
      <w:r w:rsidRPr="00825D5E">
        <w:t>Retaining experienced workers</w:t>
      </w:r>
    </w:p>
    <w:p w14:paraId="3B6B03A7" w14:textId="500DC2C2" w:rsidR="00825D5E" w:rsidRDefault="00825D5E" w:rsidP="00481FD1">
      <w:pPr>
        <w:pStyle w:val="listbulletdash"/>
        <w:numPr>
          <w:ilvl w:val="0"/>
          <w:numId w:val="37"/>
        </w:numPr>
        <w:ind w:left="851" w:hanging="284"/>
      </w:pPr>
      <w:r w:rsidRPr="00825D5E">
        <w:t>Maintaining workforce wellness (e.g. issues relating to mental health, alcohol and other drugs etc)</w:t>
      </w:r>
    </w:p>
    <w:p w14:paraId="3AF56F28" w14:textId="26700F1B" w:rsidR="00825D5E" w:rsidRDefault="00825D5E" w:rsidP="00825D5E">
      <w:pPr>
        <w:pStyle w:val="ListNumber"/>
      </w:pPr>
      <w:r>
        <w:t>Has your organisation experienced any of the following difficulties when trying to fulfil its skill needs?</w:t>
      </w:r>
    </w:p>
    <w:p w14:paraId="34005893" w14:textId="5348AD0C" w:rsidR="00825D5E" w:rsidRDefault="00825D5E" w:rsidP="00481FD1">
      <w:pPr>
        <w:pStyle w:val="listbulletdash"/>
        <w:numPr>
          <w:ilvl w:val="0"/>
          <w:numId w:val="37"/>
        </w:numPr>
        <w:ind w:left="851" w:hanging="284"/>
      </w:pPr>
      <w:r>
        <w:t>Leadership skills</w:t>
      </w:r>
    </w:p>
    <w:p w14:paraId="506C62CF" w14:textId="7983EC89" w:rsidR="00825D5E" w:rsidRDefault="00825D5E" w:rsidP="00481FD1">
      <w:pPr>
        <w:pStyle w:val="listbulletdash"/>
        <w:numPr>
          <w:ilvl w:val="0"/>
          <w:numId w:val="37"/>
        </w:numPr>
        <w:ind w:left="851" w:hanging="284"/>
      </w:pPr>
      <w:r>
        <w:t>Management skills</w:t>
      </w:r>
    </w:p>
    <w:p w14:paraId="53076B36" w14:textId="202D875B" w:rsidR="00825D5E" w:rsidRDefault="00825D5E" w:rsidP="00481FD1">
      <w:pPr>
        <w:pStyle w:val="listbulletdash"/>
        <w:numPr>
          <w:ilvl w:val="0"/>
          <w:numId w:val="37"/>
        </w:numPr>
        <w:ind w:left="851" w:hanging="284"/>
      </w:pPr>
      <w:r>
        <w:t>Marketing skills</w:t>
      </w:r>
    </w:p>
    <w:p w14:paraId="78272C0A" w14:textId="13A08BE6" w:rsidR="00825D5E" w:rsidRDefault="00825D5E" w:rsidP="00481FD1">
      <w:pPr>
        <w:pStyle w:val="listbulletdash"/>
        <w:numPr>
          <w:ilvl w:val="0"/>
          <w:numId w:val="37"/>
        </w:numPr>
        <w:ind w:left="851" w:hanging="284"/>
      </w:pPr>
      <w:r>
        <w:t>Technical mining skills</w:t>
      </w:r>
    </w:p>
    <w:p w14:paraId="5CC3B558" w14:textId="2793EDB8" w:rsidR="00825D5E" w:rsidRDefault="00825D5E" w:rsidP="00481FD1">
      <w:pPr>
        <w:pStyle w:val="listbulletdash"/>
        <w:numPr>
          <w:ilvl w:val="0"/>
          <w:numId w:val="37"/>
        </w:numPr>
        <w:ind w:left="851" w:hanging="284"/>
      </w:pPr>
      <w:r>
        <w:t>Technical trade skills</w:t>
      </w:r>
    </w:p>
    <w:p w14:paraId="64573AC4" w14:textId="262381F9" w:rsidR="00825D5E" w:rsidRDefault="00825D5E" w:rsidP="00481FD1">
      <w:pPr>
        <w:pStyle w:val="listbulletdash"/>
        <w:numPr>
          <w:ilvl w:val="0"/>
          <w:numId w:val="37"/>
        </w:numPr>
        <w:ind w:left="851" w:hanging="284"/>
      </w:pPr>
      <w:r>
        <w:t>Digital / technology skills</w:t>
      </w:r>
    </w:p>
    <w:p w14:paraId="3B3DF46A" w14:textId="46183E95" w:rsidR="00825D5E" w:rsidRDefault="00825D5E" w:rsidP="00825D5E">
      <w:pPr>
        <w:pStyle w:val="ListNumber"/>
      </w:pPr>
      <w:r>
        <w:t>Are you currently undertaking any workforce projects or initiatives within your organisation? If so please list them.</w:t>
      </w:r>
    </w:p>
    <w:p w14:paraId="2B25C5BA" w14:textId="5503FF22" w:rsidR="00825D5E" w:rsidRDefault="00825D5E" w:rsidP="00825D5E">
      <w:pPr>
        <w:pStyle w:val="ListNumber"/>
      </w:pPr>
      <w:r>
        <w:t xml:space="preserve">Are there </w:t>
      </w:r>
      <w:r w:rsidRPr="00825D5E">
        <w:t xml:space="preserve">any </w:t>
      </w:r>
      <w:r w:rsidRPr="00825D5E">
        <w:rPr>
          <w:rStyle w:val="Strong"/>
          <w:b w:val="0"/>
          <w:bCs w:val="0"/>
        </w:rPr>
        <w:t>issues or skill or labour drivers</w:t>
      </w:r>
      <w:r w:rsidRPr="00825D5E">
        <w:t xml:space="preserve"> emerging over the next three years that will have an impact on your workforce?</w:t>
      </w:r>
    </w:p>
    <w:p w14:paraId="2CAEF3CC" w14:textId="6C5F9B15" w:rsidR="00C74E25" w:rsidRDefault="00825D5E" w:rsidP="00F80C8F">
      <w:pPr>
        <w:pStyle w:val="ListNumber"/>
      </w:pPr>
      <w:r w:rsidRPr="00825D5E">
        <w:t>What initiatives would you like to see in the Mining Industry Workforce Development Plan?</w:t>
      </w:r>
    </w:p>
    <w:p w14:paraId="2E3986B6" w14:textId="061D4A10" w:rsidR="00FB61B5" w:rsidRDefault="00FB61B5" w:rsidP="00C74E25">
      <w:pPr>
        <w:sectPr w:rsidR="00FB61B5" w:rsidSect="001B246D">
          <w:endnotePr>
            <w:numFmt w:val="decimal"/>
          </w:endnotePr>
          <w:pgSz w:w="11899" w:h="16838"/>
          <w:pgMar w:top="1418" w:right="1134" w:bottom="567" w:left="1134" w:header="567" w:footer="851" w:gutter="0"/>
          <w:pgNumType w:start="1"/>
          <w:cols w:space="708"/>
          <w:docGrid w:linePitch="299"/>
        </w:sectPr>
      </w:pPr>
    </w:p>
    <w:p w14:paraId="68606028" w14:textId="13ED8B93" w:rsidR="009E360F" w:rsidRDefault="00A10CD7" w:rsidP="005F3456">
      <w:pPr>
        <w:pStyle w:val="UnnumberedHeading1"/>
      </w:pPr>
      <w:bookmarkStart w:id="173" w:name="_Attachment_C_–"/>
      <w:bookmarkStart w:id="174" w:name="_Attachment_C_-"/>
      <w:bookmarkStart w:id="175" w:name="_Ref488146135"/>
      <w:bookmarkStart w:id="176" w:name="_Toc23836339"/>
      <w:bookmarkEnd w:id="173"/>
      <w:bookmarkEnd w:id="174"/>
      <w:r w:rsidRPr="00A10CD7">
        <w:lastRenderedPageBreak/>
        <w:t xml:space="preserve">Attachment </w:t>
      </w:r>
      <w:r w:rsidR="00787457">
        <w:t>C</w:t>
      </w:r>
      <w:r w:rsidRPr="00A10CD7">
        <w:t xml:space="preserve"> </w:t>
      </w:r>
      <w:r w:rsidR="00C74E25">
        <w:t xml:space="preserve">– </w:t>
      </w:r>
      <w:r w:rsidR="009E360F">
        <w:t>Occupation</w:t>
      </w:r>
      <w:bookmarkEnd w:id="175"/>
      <w:r w:rsidR="00825D5E">
        <w:t>s</w:t>
      </w:r>
      <w:bookmarkEnd w:id="176"/>
    </w:p>
    <w:p w14:paraId="4DE1D6E5" w14:textId="624BDECA" w:rsidR="00287A5B" w:rsidRDefault="00287A5B" w:rsidP="00287A5B">
      <w:pPr>
        <w:pStyle w:val="Caption"/>
      </w:pPr>
      <w:r w:rsidRPr="00825D5E">
        <w:t xml:space="preserve">Table </w:t>
      </w:r>
      <w:r w:rsidRPr="00825D5E">
        <w:fldChar w:fldCharType="begin"/>
      </w:r>
      <w:r w:rsidRPr="00825D5E">
        <w:instrText xml:space="preserve"> SEQ Table \* ARABIC </w:instrText>
      </w:r>
      <w:r w:rsidRPr="00825D5E">
        <w:fldChar w:fldCharType="separate"/>
      </w:r>
      <w:r w:rsidR="00ED4593">
        <w:rPr>
          <w:noProof/>
        </w:rPr>
        <w:t>5</w:t>
      </w:r>
      <w:r w:rsidRPr="00825D5E">
        <w:fldChar w:fldCharType="end"/>
      </w:r>
      <w:r w:rsidRPr="00825D5E">
        <w:t>: Occupational groupings</w:t>
      </w:r>
      <w:r w:rsidR="00825D5E" w:rsidRPr="00825D5E">
        <w:t xml:space="preserve"> according to ANZSCO</w:t>
      </w:r>
    </w:p>
    <w:tbl>
      <w:tblPr>
        <w:tblStyle w:val="ListTable4-Accent11"/>
        <w:tblW w:w="0" w:type="auto"/>
        <w:tblLook w:val="04A0" w:firstRow="1" w:lastRow="0" w:firstColumn="1" w:lastColumn="0" w:noHBand="0" w:noVBand="1"/>
      </w:tblPr>
      <w:tblGrid>
        <w:gridCol w:w="1831"/>
        <w:gridCol w:w="1827"/>
        <w:gridCol w:w="2051"/>
        <w:gridCol w:w="1815"/>
        <w:gridCol w:w="1832"/>
        <w:gridCol w:w="1828"/>
        <w:gridCol w:w="1827"/>
        <w:gridCol w:w="1832"/>
      </w:tblGrid>
      <w:tr w:rsidR="005E683E" w14:paraId="67B276B0" w14:textId="77777777" w:rsidTr="00287A5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1" w:type="dxa"/>
          </w:tcPr>
          <w:p w14:paraId="13FDD6E1" w14:textId="541EF7AB" w:rsidR="005E683E" w:rsidRDefault="005E683E" w:rsidP="005E683E">
            <w:pPr>
              <w:pStyle w:val="TableHeading"/>
            </w:pPr>
            <w:r>
              <w:t>Managers</w:t>
            </w:r>
          </w:p>
        </w:tc>
        <w:tc>
          <w:tcPr>
            <w:tcW w:w="1827" w:type="dxa"/>
          </w:tcPr>
          <w:p w14:paraId="0C292E50" w14:textId="431031D0" w:rsidR="005E683E" w:rsidRDefault="005E683E" w:rsidP="005E683E">
            <w:pPr>
              <w:pStyle w:val="TableHeading"/>
              <w:cnfStyle w:val="100000000000" w:firstRow="1" w:lastRow="0" w:firstColumn="0" w:lastColumn="0" w:oddVBand="0" w:evenVBand="0" w:oddHBand="0" w:evenHBand="0" w:firstRowFirstColumn="0" w:firstRowLastColumn="0" w:lastRowFirstColumn="0" w:lastRowLastColumn="0"/>
            </w:pPr>
            <w:r>
              <w:t>Professional</w:t>
            </w:r>
          </w:p>
        </w:tc>
        <w:tc>
          <w:tcPr>
            <w:tcW w:w="2051" w:type="dxa"/>
          </w:tcPr>
          <w:p w14:paraId="22E26BDC" w14:textId="5F53D878" w:rsidR="005E683E" w:rsidRPr="005E683E" w:rsidRDefault="005E683E" w:rsidP="005E683E">
            <w:pPr>
              <w:pStyle w:val="TableHeading"/>
              <w:cnfStyle w:val="100000000000" w:firstRow="1" w:lastRow="0" w:firstColumn="0" w:lastColumn="0" w:oddVBand="0" w:evenVBand="0" w:oddHBand="0" w:evenHBand="0" w:firstRowFirstColumn="0" w:firstRowLastColumn="0" w:lastRowFirstColumn="0" w:lastRowLastColumn="0"/>
            </w:pPr>
            <w:r w:rsidRPr="005E683E">
              <w:t>Technician and trade workers</w:t>
            </w:r>
          </w:p>
        </w:tc>
        <w:tc>
          <w:tcPr>
            <w:tcW w:w="1815" w:type="dxa"/>
          </w:tcPr>
          <w:p w14:paraId="6350A49F" w14:textId="2EA4609E" w:rsidR="005E683E" w:rsidRPr="005E683E" w:rsidRDefault="005E683E" w:rsidP="005E683E">
            <w:pPr>
              <w:pStyle w:val="TableHeading"/>
              <w:cnfStyle w:val="100000000000" w:firstRow="1" w:lastRow="0" w:firstColumn="0" w:lastColumn="0" w:oddVBand="0" w:evenVBand="0" w:oddHBand="0" w:evenHBand="0" w:firstRowFirstColumn="0" w:firstRowLastColumn="0" w:lastRowFirstColumn="0" w:lastRowLastColumn="0"/>
            </w:pPr>
            <w:r w:rsidRPr="005E683E">
              <w:t>Community and Personal Service Workers</w:t>
            </w:r>
          </w:p>
        </w:tc>
        <w:tc>
          <w:tcPr>
            <w:tcW w:w="1832" w:type="dxa"/>
          </w:tcPr>
          <w:p w14:paraId="27C84F77" w14:textId="731B4BE3" w:rsidR="005E683E" w:rsidRDefault="005E683E" w:rsidP="005E683E">
            <w:pPr>
              <w:pStyle w:val="TableHeading"/>
              <w:cnfStyle w:val="100000000000" w:firstRow="1" w:lastRow="0" w:firstColumn="0" w:lastColumn="0" w:oddVBand="0" w:evenVBand="0" w:oddHBand="0" w:evenHBand="0" w:firstRowFirstColumn="0" w:firstRowLastColumn="0" w:lastRowFirstColumn="0" w:lastRowLastColumn="0"/>
            </w:pPr>
            <w:r w:rsidRPr="00A220D6">
              <w:t>Clerical and Administrative Workers</w:t>
            </w:r>
          </w:p>
        </w:tc>
        <w:tc>
          <w:tcPr>
            <w:tcW w:w="1828" w:type="dxa"/>
          </w:tcPr>
          <w:p w14:paraId="4A9D4AB1" w14:textId="793B3008" w:rsidR="005E683E" w:rsidRDefault="005E683E" w:rsidP="005E683E">
            <w:pPr>
              <w:pStyle w:val="TableHeading"/>
              <w:cnfStyle w:val="100000000000" w:firstRow="1" w:lastRow="0" w:firstColumn="0" w:lastColumn="0" w:oddVBand="0" w:evenVBand="0" w:oddHBand="0" w:evenHBand="0" w:firstRowFirstColumn="0" w:firstRowLastColumn="0" w:lastRowFirstColumn="0" w:lastRowLastColumn="0"/>
            </w:pPr>
            <w:r w:rsidRPr="00A220D6">
              <w:t>Sales Workers</w:t>
            </w:r>
          </w:p>
        </w:tc>
        <w:tc>
          <w:tcPr>
            <w:tcW w:w="1827" w:type="dxa"/>
          </w:tcPr>
          <w:p w14:paraId="0F474690" w14:textId="6EAEAAC0" w:rsidR="005E683E" w:rsidRDefault="005E683E" w:rsidP="005E683E">
            <w:pPr>
              <w:pStyle w:val="TableHeading"/>
              <w:cnfStyle w:val="100000000000" w:firstRow="1" w:lastRow="0" w:firstColumn="0" w:lastColumn="0" w:oddVBand="0" w:evenVBand="0" w:oddHBand="0" w:evenHBand="0" w:firstRowFirstColumn="0" w:firstRowLastColumn="0" w:lastRowFirstColumn="0" w:lastRowLastColumn="0"/>
            </w:pPr>
            <w:r w:rsidRPr="00A220D6">
              <w:t>Machinery Operators and Drivers</w:t>
            </w:r>
          </w:p>
        </w:tc>
        <w:tc>
          <w:tcPr>
            <w:tcW w:w="1832" w:type="dxa"/>
          </w:tcPr>
          <w:p w14:paraId="3C6AC91F" w14:textId="3DD96DBA" w:rsidR="005E683E" w:rsidRDefault="005E683E" w:rsidP="005E683E">
            <w:pPr>
              <w:pStyle w:val="TableHeading"/>
              <w:cnfStyle w:val="100000000000" w:firstRow="1" w:lastRow="0" w:firstColumn="0" w:lastColumn="0" w:oddVBand="0" w:evenVBand="0" w:oddHBand="0" w:evenHBand="0" w:firstRowFirstColumn="0" w:firstRowLastColumn="0" w:lastRowFirstColumn="0" w:lastRowLastColumn="0"/>
            </w:pPr>
            <w:r w:rsidRPr="00A220D6">
              <w:t>Labourers</w:t>
            </w:r>
          </w:p>
        </w:tc>
      </w:tr>
      <w:tr w:rsidR="005E683E" w14:paraId="40213309" w14:textId="77777777" w:rsidTr="00287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1" w:type="dxa"/>
          </w:tcPr>
          <w:p w14:paraId="44802244" w14:textId="59535AA6" w:rsidR="005E683E" w:rsidRPr="005E683E" w:rsidRDefault="005E683E" w:rsidP="005E683E">
            <w:pPr>
              <w:pStyle w:val="TableText"/>
              <w:rPr>
                <w:b w:val="0"/>
                <w:bCs/>
              </w:rPr>
            </w:pPr>
            <w:r w:rsidRPr="005E683E">
              <w:rPr>
                <w:b w:val="0"/>
                <w:bCs/>
              </w:rPr>
              <w:t>Construction, Distribution and Production Managers</w:t>
            </w:r>
          </w:p>
        </w:tc>
        <w:tc>
          <w:tcPr>
            <w:tcW w:w="1827" w:type="dxa"/>
          </w:tcPr>
          <w:p w14:paraId="02AF6CDD" w14:textId="6DC98997" w:rsidR="005E683E" w:rsidRDefault="005E683E" w:rsidP="005E683E">
            <w:pPr>
              <w:pStyle w:val="TableText"/>
              <w:cnfStyle w:val="000000100000" w:firstRow="0" w:lastRow="0" w:firstColumn="0" w:lastColumn="0" w:oddVBand="0" w:evenVBand="0" w:oddHBand="1" w:evenHBand="0" w:firstRowFirstColumn="0" w:firstRowLastColumn="0" w:lastRowFirstColumn="0" w:lastRowLastColumn="0"/>
            </w:pPr>
            <w:r>
              <w:t>Engineering Professionals</w:t>
            </w:r>
          </w:p>
        </w:tc>
        <w:tc>
          <w:tcPr>
            <w:tcW w:w="2051" w:type="dxa"/>
          </w:tcPr>
          <w:p w14:paraId="67B04649" w14:textId="77777777" w:rsidR="005E683E" w:rsidRDefault="005E683E" w:rsidP="005E683E">
            <w:pPr>
              <w:pStyle w:val="TableText"/>
              <w:cnfStyle w:val="000000100000" w:firstRow="0" w:lastRow="0" w:firstColumn="0" w:lastColumn="0" w:oddVBand="0" w:evenVBand="0" w:oddHBand="1" w:evenHBand="0" w:firstRowFirstColumn="0" w:firstRowLastColumn="0" w:lastRowFirstColumn="0" w:lastRowLastColumn="0"/>
            </w:pPr>
            <w:r>
              <w:t>Mechanical Engineering Trades Workers</w:t>
            </w:r>
          </w:p>
          <w:p w14:paraId="1EF00BD1" w14:textId="77777777" w:rsidR="005E683E" w:rsidRDefault="005E683E" w:rsidP="005E683E">
            <w:pPr>
              <w:pStyle w:val="TableText"/>
              <w:cnfStyle w:val="000000100000" w:firstRow="0" w:lastRow="0" w:firstColumn="0" w:lastColumn="0" w:oddVBand="0" w:evenVBand="0" w:oddHBand="1" w:evenHBand="0" w:firstRowFirstColumn="0" w:firstRowLastColumn="0" w:lastRowFirstColumn="0" w:lastRowLastColumn="0"/>
            </w:pPr>
          </w:p>
        </w:tc>
        <w:tc>
          <w:tcPr>
            <w:tcW w:w="1815" w:type="dxa"/>
          </w:tcPr>
          <w:p w14:paraId="7A0206E0" w14:textId="70855607" w:rsidR="005E683E" w:rsidRDefault="005E683E" w:rsidP="005E683E">
            <w:pPr>
              <w:pStyle w:val="TableText"/>
              <w:cnfStyle w:val="000000100000" w:firstRow="0" w:lastRow="0" w:firstColumn="0" w:lastColumn="0" w:oddVBand="0" w:evenVBand="0" w:oddHBand="1" w:evenHBand="0" w:firstRowFirstColumn="0" w:firstRowLastColumn="0" w:lastRowFirstColumn="0" w:lastRowLastColumn="0"/>
            </w:pPr>
            <w:r>
              <w:t>Defence Force Members, Fire Fighters and Police</w:t>
            </w:r>
          </w:p>
        </w:tc>
        <w:tc>
          <w:tcPr>
            <w:tcW w:w="1832" w:type="dxa"/>
          </w:tcPr>
          <w:p w14:paraId="3ACEA7D3" w14:textId="46423FE1" w:rsidR="005E683E" w:rsidRDefault="005E683E" w:rsidP="005E683E">
            <w:pPr>
              <w:pStyle w:val="TableText"/>
              <w:cnfStyle w:val="000000100000" w:firstRow="0" w:lastRow="0" w:firstColumn="0" w:lastColumn="0" w:oddVBand="0" w:evenVBand="0" w:oddHBand="1" w:evenHBand="0" w:firstRowFirstColumn="0" w:firstRowLastColumn="0" w:lastRowFirstColumn="0" w:lastRowLastColumn="0"/>
            </w:pPr>
            <w:r w:rsidRPr="00A220D6">
              <w:t>Accounting Clerks and Bookkeepers</w:t>
            </w:r>
          </w:p>
        </w:tc>
        <w:tc>
          <w:tcPr>
            <w:tcW w:w="1828" w:type="dxa"/>
          </w:tcPr>
          <w:p w14:paraId="25092B96" w14:textId="769985F5" w:rsidR="005E683E" w:rsidRDefault="005E683E" w:rsidP="005E683E">
            <w:pPr>
              <w:pStyle w:val="TableText"/>
              <w:cnfStyle w:val="000000100000" w:firstRow="0" w:lastRow="0" w:firstColumn="0" w:lastColumn="0" w:oddVBand="0" w:evenVBand="0" w:oddHBand="1" w:evenHBand="0" w:firstRowFirstColumn="0" w:firstRowLastColumn="0" w:lastRowFirstColumn="0" w:lastRowLastColumn="0"/>
            </w:pPr>
            <w:r w:rsidRPr="00A220D6">
              <w:t>Sales Assistants and Salespersons</w:t>
            </w:r>
          </w:p>
        </w:tc>
        <w:tc>
          <w:tcPr>
            <w:tcW w:w="1827" w:type="dxa"/>
          </w:tcPr>
          <w:p w14:paraId="6BD9DC7A" w14:textId="7AB5056E" w:rsidR="005E683E" w:rsidRDefault="005E683E" w:rsidP="005E683E">
            <w:pPr>
              <w:pStyle w:val="TableText"/>
              <w:cnfStyle w:val="000000100000" w:firstRow="0" w:lastRow="0" w:firstColumn="0" w:lastColumn="0" w:oddVBand="0" w:evenVBand="0" w:oddHBand="1" w:evenHBand="0" w:firstRowFirstColumn="0" w:firstRowLastColumn="0" w:lastRowFirstColumn="0" w:lastRowLastColumn="0"/>
            </w:pPr>
            <w:r w:rsidRPr="00A220D6">
              <w:t>Stationary Plant Operators</w:t>
            </w:r>
          </w:p>
        </w:tc>
        <w:tc>
          <w:tcPr>
            <w:tcW w:w="1832" w:type="dxa"/>
          </w:tcPr>
          <w:p w14:paraId="1FEC1CFF" w14:textId="0D9E4FDD" w:rsidR="005E683E" w:rsidRDefault="005E683E" w:rsidP="005E683E">
            <w:pPr>
              <w:pStyle w:val="TableText"/>
              <w:cnfStyle w:val="000000100000" w:firstRow="0" w:lastRow="0" w:firstColumn="0" w:lastColumn="0" w:oddVBand="0" w:evenVBand="0" w:oddHBand="1" w:evenHBand="0" w:firstRowFirstColumn="0" w:firstRowLastColumn="0" w:lastRowFirstColumn="0" w:lastRowLastColumn="0"/>
            </w:pPr>
            <w:r w:rsidRPr="00A220D6">
              <w:t>Construction and Mining Labourers</w:t>
            </w:r>
          </w:p>
        </w:tc>
      </w:tr>
      <w:tr w:rsidR="005E683E" w14:paraId="4A3E0587" w14:textId="77777777" w:rsidTr="00287A5B">
        <w:tc>
          <w:tcPr>
            <w:cnfStyle w:val="001000000000" w:firstRow="0" w:lastRow="0" w:firstColumn="1" w:lastColumn="0" w:oddVBand="0" w:evenVBand="0" w:oddHBand="0" w:evenHBand="0" w:firstRowFirstColumn="0" w:firstRowLastColumn="0" w:lastRowFirstColumn="0" w:lastRowLastColumn="0"/>
            <w:tcW w:w="1831" w:type="dxa"/>
          </w:tcPr>
          <w:p w14:paraId="54AFB649" w14:textId="0D6A915A" w:rsidR="005E683E" w:rsidRPr="005E683E" w:rsidRDefault="005E683E" w:rsidP="005E683E">
            <w:pPr>
              <w:pStyle w:val="TableText"/>
              <w:rPr>
                <w:b w:val="0"/>
                <w:bCs/>
              </w:rPr>
            </w:pPr>
            <w:r w:rsidRPr="005E683E">
              <w:rPr>
                <w:b w:val="0"/>
                <w:bCs/>
              </w:rPr>
              <w:t>Miscellaneous Specialist Managers</w:t>
            </w:r>
          </w:p>
        </w:tc>
        <w:tc>
          <w:tcPr>
            <w:tcW w:w="1827" w:type="dxa"/>
          </w:tcPr>
          <w:p w14:paraId="73F0FC70" w14:textId="4C56E8C9" w:rsidR="005E683E" w:rsidRDefault="005E683E" w:rsidP="005E683E">
            <w:pPr>
              <w:pStyle w:val="TableText"/>
              <w:cnfStyle w:val="000000000000" w:firstRow="0" w:lastRow="0" w:firstColumn="0" w:lastColumn="0" w:oddVBand="0" w:evenVBand="0" w:oddHBand="0" w:evenHBand="0" w:firstRowFirstColumn="0" w:firstRowLastColumn="0" w:lastRowFirstColumn="0" w:lastRowLastColumn="0"/>
            </w:pPr>
            <w:r>
              <w:t>Natural and Physical Science Professionals</w:t>
            </w:r>
          </w:p>
        </w:tc>
        <w:tc>
          <w:tcPr>
            <w:tcW w:w="2051" w:type="dxa"/>
          </w:tcPr>
          <w:p w14:paraId="7F11406E" w14:textId="3D2D3E9C" w:rsidR="005E683E" w:rsidRDefault="005E683E" w:rsidP="005E683E">
            <w:pPr>
              <w:pStyle w:val="TableText"/>
              <w:cnfStyle w:val="000000000000" w:firstRow="0" w:lastRow="0" w:firstColumn="0" w:lastColumn="0" w:oddVBand="0" w:evenVBand="0" w:oddHBand="0" w:evenHBand="0" w:firstRowFirstColumn="0" w:firstRowLastColumn="0" w:lastRowFirstColumn="0" w:lastRowLastColumn="0"/>
            </w:pPr>
            <w:r>
              <w:t>Building and Engineering Technicians</w:t>
            </w:r>
          </w:p>
        </w:tc>
        <w:tc>
          <w:tcPr>
            <w:tcW w:w="1815" w:type="dxa"/>
          </w:tcPr>
          <w:p w14:paraId="53E1C3F4" w14:textId="77777777" w:rsidR="005E683E" w:rsidRDefault="005E683E" w:rsidP="005E683E">
            <w:pPr>
              <w:pStyle w:val="TableText"/>
              <w:cnfStyle w:val="000000000000" w:firstRow="0" w:lastRow="0" w:firstColumn="0" w:lastColumn="0" w:oddVBand="0" w:evenVBand="0" w:oddHBand="0" w:evenHBand="0" w:firstRowFirstColumn="0" w:firstRowLastColumn="0" w:lastRowFirstColumn="0" w:lastRowLastColumn="0"/>
            </w:pPr>
          </w:p>
        </w:tc>
        <w:tc>
          <w:tcPr>
            <w:tcW w:w="1832" w:type="dxa"/>
          </w:tcPr>
          <w:p w14:paraId="17275B8F" w14:textId="0BC7CD7A" w:rsidR="005E683E" w:rsidRDefault="005E683E" w:rsidP="005E683E">
            <w:pPr>
              <w:pStyle w:val="TableText"/>
              <w:cnfStyle w:val="000000000000" w:firstRow="0" w:lastRow="0" w:firstColumn="0" w:lastColumn="0" w:oddVBand="0" w:evenVBand="0" w:oddHBand="0" w:evenHBand="0" w:firstRowFirstColumn="0" w:firstRowLastColumn="0" w:lastRowFirstColumn="0" w:lastRowLastColumn="0"/>
            </w:pPr>
            <w:r w:rsidRPr="00A220D6">
              <w:t>Logistics Clerks</w:t>
            </w:r>
          </w:p>
        </w:tc>
        <w:tc>
          <w:tcPr>
            <w:tcW w:w="1828" w:type="dxa"/>
          </w:tcPr>
          <w:p w14:paraId="5BF03059" w14:textId="77777777" w:rsidR="005E683E" w:rsidRDefault="005E683E" w:rsidP="005E683E">
            <w:pPr>
              <w:pStyle w:val="TableText"/>
              <w:cnfStyle w:val="000000000000" w:firstRow="0" w:lastRow="0" w:firstColumn="0" w:lastColumn="0" w:oddVBand="0" w:evenVBand="0" w:oddHBand="0" w:evenHBand="0" w:firstRowFirstColumn="0" w:firstRowLastColumn="0" w:lastRowFirstColumn="0" w:lastRowLastColumn="0"/>
            </w:pPr>
          </w:p>
        </w:tc>
        <w:tc>
          <w:tcPr>
            <w:tcW w:w="1827" w:type="dxa"/>
          </w:tcPr>
          <w:p w14:paraId="287BB767" w14:textId="0B227CE4" w:rsidR="005E683E" w:rsidRDefault="005E683E" w:rsidP="005E683E">
            <w:pPr>
              <w:pStyle w:val="TableText"/>
              <w:cnfStyle w:val="000000000000" w:firstRow="0" w:lastRow="0" w:firstColumn="0" w:lastColumn="0" w:oddVBand="0" w:evenVBand="0" w:oddHBand="0" w:evenHBand="0" w:firstRowFirstColumn="0" w:firstRowLastColumn="0" w:lastRowFirstColumn="0" w:lastRowLastColumn="0"/>
            </w:pPr>
            <w:r w:rsidRPr="00A220D6">
              <w:t>Truck Drivers</w:t>
            </w:r>
          </w:p>
        </w:tc>
        <w:tc>
          <w:tcPr>
            <w:tcW w:w="1832" w:type="dxa"/>
          </w:tcPr>
          <w:p w14:paraId="2D37A191" w14:textId="451DF9D0" w:rsidR="005E683E" w:rsidRDefault="005E683E" w:rsidP="005E683E">
            <w:pPr>
              <w:pStyle w:val="TableText"/>
              <w:cnfStyle w:val="000000000000" w:firstRow="0" w:lastRow="0" w:firstColumn="0" w:lastColumn="0" w:oddVBand="0" w:evenVBand="0" w:oddHBand="0" w:evenHBand="0" w:firstRowFirstColumn="0" w:firstRowLastColumn="0" w:lastRowFirstColumn="0" w:lastRowLastColumn="0"/>
            </w:pPr>
            <w:r w:rsidRPr="00A220D6">
              <w:t>Cleaners and Laundry Workers</w:t>
            </w:r>
          </w:p>
        </w:tc>
      </w:tr>
      <w:tr w:rsidR="005E683E" w14:paraId="271F7611" w14:textId="77777777" w:rsidTr="00287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1" w:type="dxa"/>
          </w:tcPr>
          <w:p w14:paraId="4866DB51" w14:textId="2A05893D" w:rsidR="005E683E" w:rsidRPr="005E683E" w:rsidRDefault="005E683E" w:rsidP="005E683E">
            <w:pPr>
              <w:pStyle w:val="TableText"/>
              <w:rPr>
                <w:b w:val="0"/>
                <w:bCs/>
              </w:rPr>
            </w:pPr>
            <w:r w:rsidRPr="005E683E">
              <w:rPr>
                <w:b w:val="0"/>
                <w:bCs/>
              </w:rPr>
              <w:t>Business Administration Managers</w:t>
            </w:r>
          </w:p>
        </w:tc>
        <w:tc>
          <w:tcPr>
            <w:tcW w:w="1827" w:type="dxa"/>
          </w:tcPr>
          <w:p w14:paraId="2CF89303" w14:textId="316EB97C" w:rsidR="005E683E" w:rsidRDefault="005E683E" w:rsidP="005E683E">
            <w:pPr>
              <w:pStyle w:val="TableText"/>
              <w:cnfStyle w:val="000000100000" w:firstRow="0" w:lastRow="0" w:firstColumn="0" w:lastColumn="0" w:oddVBand="0" w:evenVBand="0" w:oddHBand="1" w:evenHBand="0" w:firstRowFirstColumn="0" w:firstRowLastColumn="0" w:lastRowFirstColumn="0" w:lastRowLastColumn="0"/>
            </w:pPr>
            <w:r>
              <w:t>Architects, Designers, Planners and Surveyors</w:t>
            </w:r>
          </w:p>
        </w:tc>
        <w:tc>
          <w:tcPr>
            <w:tcW w:w="2051" w:type="dxa"/>
          </w:tcPr>
          <w:p w14:paraId="572C92BC" w14:textId="7FCE9918" w:rsidR="005E683E" w:rsidRDefault="005E683E" w:rsidP="005E683E">
            <w:pPr>
              <w:pStyle w:val="TableText"/>
              <w:cnfStyle w:val="000000100000" w:firstRow="0" w:lastRow="0" w:firstColumn="0" w:lastColumn="0" w:oddVBand="0" w:evenVBand="0" w:oddHBand="1" w:evenHBand="0" w:firstRowFirstColumn="0" w:firstRowLastColumn="0" w:lastRowFirstColumn="0" w:lastRowLastColumn="0"/>
            </w:pPr>
            <w:r>
              <w:t>Electricians</w:t>
            </w:r>
          </w:p>
        </w:tc>
        <w:tc>
          <w:tcPr>
            <w:tcW w:w="1815" w:type="dxa"/>
          </w:tcPr>
          <w:p w14:paraId="64061C6C" w14:textId="77777777" w:rsidR="005E683E" w:rsidRDefault="005E683E" w:rsidP="005E683E">
            <w:pPr>
              <w:pStyle w:val="TableText"/>
              <w:cnfStyle w:val="000000100000" w:firstRow="0" w:lastRow="0" w:firstColumn="0" w:lastColumn="0" w:oddVBand="0" w:evenVBand="0" w:oddHBand="1" w:evenHBand="0" w:firstRowFirstColumn="0" w:firstRowLastColumn="0" w:lastRowFirstColumn="0" w:lastRowLastColumn="0"/>
            </w:pPr>
          </w:p>
        </w:tc>
        <w:tc>
          <w:tcPr>
            <w:tcW w:w="1832" w:type="dxa"/>
          </w:tcPr>
          <w:p w14:paraId="597D4B2D" w14:textId="33D41FC3" w:rsidR="005E683E" w:rsidRDefault="005E683E" w:rsidP="005E683E">
            <w:pPr>
              <w:pStyle w:val="TableText"/>
              <w:cnfStyle w:val="000000100000" w:firstRow="0" w:lastRow="0" w:firstColumn="0" w:lastColumn="0" w:oddVBand="0" w:evenVBand="0" w:oddHBand="1" w:evenHBand="0" w:firstRowFirstColumn="0" w:firstRowLastColumn="0" w:lastRowFirstColumn="0" w:lastRowLastColumn="0"/>
            </w:pPr>
            <w:r w:rsidRPr="00A220D6">
              <w:t>Clerical and Office Support Workers</w:t>
            </w:r>
          </w:p>
        </w:tc>
        <w:tc>
          <w:tcPr>
            <w:tcW w:w="1828" w:type="dxa"/>
          </w:tcPr>
          <w:p w14:paraId="36B9E56D" w14:textId="77777777" w:rsidR="005E683E" w:rsidRDefault="005E683E" w:rsidP="005E683E">
            <w:pPr>
              <w:pStyle w:val="TableText"/>
              <w:cnfStyle w:val="000000100000" w:firstRow="0" w:lastRow="0" w:firstColumn="0" w:lastColumn="0" w:oddVBand="0" w:evenVBand="0" w:oddHBand="1" w:evenHBand="0" w:firstRowFirstColumn="0" w:firstRowLastColumn="0" w:lastRowFirstColumn="0" w:lastRowLastColumn="0"/>
            </w:pPr>
          </w:p>
        </w:tc>
        <w:tc>
          <w:tcPr>
            <w:tcW w:w="1827" w:type="dxa"/>
          </w:tcPr>
          <w:p w14:paraId="14A3458A" w14:textId="6BD340FF" w:rsidR="005E683E" w:rsidRDefault="005E683E" w:rsidP="005E683E">
            <w:pPr>
              <w:pStyle w:val="TableText"/>
              <w:cnfStyle w:val="000000100000" w:firstRow="0" w:lastRow="0" w:firstColumn="0" w:lastColumn="0" w:oddVBand="0" w:evenVBand="0" w:oddHBand="1" w:evenHBand="0" w:firstRowFirstColumn="0" w:firstRowLastColumn="0" w:lastRowFirstColumn="0" w:lastRowLastColumn="0"/>
            </w:pPr>
            <w:r w:rsidRPr="00A220D6">
              <w:t>Mobile Plant Operators</w:t>
            </w:r>
          </w:p>
        </w:tc>
        <w:tc>
          <w:tcPr>
            <w:tcW w:w="1832" w:type="dxa"/>
          </w:tcPr>
          <w:p w14:paraId="56AF88C9" w14:textId="22716994" w:rsidR="005E683E" w:rsidRDefault="005E683E" w:rsidP="005E683E">
            <w:pPr>
              <w:pStyle w:val="TableText"/>
              <w:cnfStyle w:val="000000100000" w:firstRow="0" w:lastRow="0" w:firstColumn="0" w:lastColumn="0" w:oddVBand="0" w:evenVBand="0" w:oddHBand="1" w:evenHBand="0" w:firstRowFirstColumn="0" w:firstRowLastColumn="0" w:lastRowFirstColumn="0" w:lastRowLastColumn="0"/>
            </w:pPr>
            <w:r w:rsidRPr="00A220D6">
              <w:t>Miscellaneous Labourers</w:t>
            </w:r>
          </w:p>
        </w:tc>
      </w:tr>
      <w:tr w:rsidR="005E683E" w14:paraId="58624AA3" w14:textId="77777777" w:rsidTr="00287A5B">
        <w:tc>
          <w:tcPr>
            <w:cnfStyle w:val="001000000000" w:firstRow="0" w:lastRow="0" w:firstColumn="1" w:lastColumn="0" w:oddVBand="0" w:evenVBand="0" w:oddHBand="0" w:evenHBand="0" w:firstRowFirstColumn="0" w:firstRowLastColumn="0" w:lastRowFirstColumn="0" w:lastRowLastColumn="0"/>
            <w:tcW w:w="1831" w:type="dxa"/>
          </w:tcPr>
          <w:p w14:paraId="7D0124FE" w14:textId="73EC1ED1" w:rsidR="005E683E" w:rsidRPr="005E683E" w:rsidRDefault="005E683E" w:rsidP="005E683E">
            <w:pPr>
              <w:pStyle w:val="TableText"/>
              <w:rPr>
                <w:b w:val="0"/>
                <w:bCs/>
              </w:rPr>
            </w:pPr>
            <w:r w:rsidRPr="005E683E">
              <w:rPr>
                <w:b w:val="0"/>
                <w:bCs/>
              </w:rPr>
              <w:t>Miscellaneous Hospitality, Retail and Service Managers</w:t>
            </w:r>
          </w:p>
        </w:tc>
        <w:tc>
          <w:tcPr>
            <w:tcW w:w="1827" w:type="dxa"/>
          </w:tcPr>
          <w:p w14:paraId="2FF514AB" w14:textId="44671FC7" w:rsidR="005E683E" w:rsidRDefault="005E683E" w:rsidP="005E683E">
            <w:pPr>
              <w:pStyle w:val="TableText"/>
              <w:cnfStyle w:val="000000000000" w:firstRow="0" w:lastRow="0" w:firstColumn="0" w:lastColumn="0" w:oddVBand="0" w:evenVBand="0" w:oddHBand="0" w:evenHBand="0" w:firstRowFirstColumn="0" w:firstRowLastColumn="0" w:lastRowFirstColumn="0" w:lastRowLastColumn="0"/>
            </w:pPr>
            <w:r>
              <w:t>Architects, Designers, Planners and Surveyors</w:t>
            </w:r>
          </w:p>
        </w:tc>
        <w:tc>
          <w:tcPr>
            <w:tcW w:w="2051" w:type="dxa"/>
          </w:tcPr>
          <w:p w14:paraId="6826A947" w14:textId="433AE5D7" w:rsidR="005E683E" w:rsidRDefault="005E683E" w:rsidP="005E683E">
            <w:pPr>
              <w:pStyle w:val="TableText"/>
              <w:cnfStyle w:val="000000000000" w:firstRow="0" w:lastRow="0" w:firstColumn="0" w:lastColumn="0" w:oddVBand="0" w:evenVBand="0" w:oddHBand="0" w:evenHBand="0" w:firstRowFirstColumn="0" w:firstRowLastColumn="0" w:lastRowFirstColumn="0" w:lastRowLastColumn="0"/>
            </w:pPr>
            <w:r>
              <w:t>Fabrication Engineering Trades Workers</w:t>
            </w:r>
          </w:p>
        </w:tc>
        <w:tc>
          <w:tcPr>
            <w:tcW w:w="1815" w:type="dxa"/>
          </w:tcPr>
          <w:p w14:paraId="2E38FBBC" w14:textId="77777777" w:rsidR="005E683E" w:rsidRDefault="005E683E" w:rsidP="005E683E">
            <w:pPr>
              <w:pStyle w:val="TableText"/>
              <w:cnfStyle w:val="000000000000" w:firstRow="0" w:lastRow="0" w:firstColumn="0" w:lastColumn="0" w:oddVBand="0" w:evenVBand="0" w:oddHBand="0" w:evenHBand="0" w:firstRowFirstColumn="0" w:firstRowLastColumn="0" w:lastRowFirstColumn="0" w:lastRowLastColumn="0"/>
            </w:pPr>
          </w:p>
        </w:tc>
        <w:tc>
          <w:tcPr>
            <w:tcW w:w="1832" w:type="dxa"/>
          </w:tcPr>
          <w:p w14:paraId="5B1E2733" w14:textId="45904D0F" w:rsidR="005E683E" w:rsidRDefault="005E683E" w:rsidP="005E683E">
            <w:pPr>
              <w:pStyle w:val="TableText"/>
              <w:cnfStyle w:val="000000000000" w:firstRow="0" w:lastRow="0" w:firstColumn="0" w:lastColumn="0" w:oddVBand="0" w:evenVBand="0" w:oddHBand="0" w:evenHBand="0" w:firstRowFirstColumn="0" w:firstRowLastColumn="0" w:lastRowFirstColumn="0" w:lastRowLastColumn="0"/>
            </w:pPr>
            <w:r w:rsidRPr="00A220D6">
              <w:t>General Clerks</w:t>
            </w:r>
          </w:p>
        </w:tc>
        <w:tc>
          <w:tcPr>
            <w:tcW w:w="1828" w:type="dxa"/>
          </w:tcPr>
          <w:p w14:paraId="2ED2A971" w14:textId="77777777" w:rsidR="005E683E" w:rsidRDefault="005E683E" w:rsidP="005E683E">
            <w:pPr>
              <w:pStyle w:val="TableText"/>
              <w:cnfStyle w:val="000000000000" w:firstRow="0" w:lastRow="0" w:firstColumn="0" w:lastColumn="0" w:oddVBand="0" w:evenVBand="0" w:oddHBand="0" w:evenHBand="0" w:firstRowFirstColumn="0" w:firstRowLastColumn="0" w:lastRowFirstColumn="0" w:lastRowLastColumn="0"/>
            </w:pPr>
          </w:p>
        </w:tc>
        <w:tc>
          <w:tcPr>
            <w:tcW w:w="1827" w:type="dxa"/>
          </w:tcPr>
          <w:p w14:paraId="62BB2CB0" w14:textId="4BE91E20" w:rsidR="005E683E" w:rsidRDefault="005E683E" w:rsidP="005E683E">
            <w:pPr>
              <w:pStyle w:val="TableText"/>
              <w:cnfStyle w:val="000000000000" w:firstRow="0" w:lastRow="0" w:firstColumn="0" w:lastColumn="0" w:oddVBand="0" w:evenVBand="0" w:oddHBand="0" w:evenHBand="0" w:firstRowFirstColumn="0" w:firstRowLastColumn="0" w:lastRowFirstColumn="0" w:lastRowLastColumn="0"/>
            </w:pPr>
            <w:r w:rsidRPr="00A220D6">
              <w:t>Machine Operators</w:t>
            </w:r>
          </w:p>
        </w:tc>
        <w:tc>
          <w:tcPr>
            <w:tcW w:w="1832" w:type="dxa"/>
          </w:tcPr>
          <w:p w14:paraId="41AE5792" w14:textId="49359E1F" w:rsidR="005E683E" w:rsidRDefault="005E683E" w:rsidP="005E683E">
            <w:pPr>
              <w:pStyle w:val="TableText"/>
              <w:cnfStyle w:val="000000000000" w:firstRow="0" w:lastRow="0" w:firstColumn="0" w:lastColumn="0" w:oddVBand="0" w:evenVBand="0" w:oddHBand="0" w:evenHBand="0" w:firstRowFirstColumn="0" w:firstRowLastColumn="0" w:lastRowFirstColumn="0" w:lastRowLastColumn="0"/>
            </w:pPr>
            <w:r w:rsidRPr="00A220D6">
              <w:t>Miscellaneous Factory Process Workers</w:t>
            </w:r>
          </w:p>
        </w:tc>
      </w:tr>
      <w:tr w:rsidR="005E683E" w14:paraId="570A5610" w14:textId="77777777" w:rsidTr="00287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1" w:type="dxa"/>
          </w:tcPr>
          <w:p w14:paraId="4DD63DCF" w14:textId="28FFE5B4" w:rsidR="005E683E" w:rsidRPr="005E683E" w:rsidRDefault="005E683E" w:rsidP="005E683E">
            <w:pPr>
              <w:pStyle w:val="TableText"/>
              <w:rPr>
                <w:b w:val="0"/>
                <w:bCs/>
              </w:rPr>
            </w:pPr>
            <w:r w:rsidRPr="005E683E">
              <w:rPr>
                <w:b w:val="0"/>
                <w:bCs/>
              </w:rPr>
              <w:t>Chief Executives, General Managers and Legislators</w:t>
            </w:r>
          </w:p>
        </w:tc>
        <w:tc>
          <w:tcPr>
            <w:tcW w:w="1827" w:type="dxa"/>
          </w:tcPr>
          <w:p w14:paraId="2F0E0BF0" w14:textId="7C1BE714" w:rsidR="005E683E" w:rsidRDefault="005E683E" w:rsidP="005E683E">
            <w:pPr>
              <w:pStyle w:val="TableText"/>
              <w:cnfStyle w:val="000000100000" w:firstRow="0" w:lastRow="0" w:firstColumn="0" w:lastColumn="0" w:oddVBand="0" w:evenVBand="0" w:oddHBand="1" w:evenHBand="0" w:firstRowFirstColumn="0" w:firstRowLastColumn="0" w:lastRowFirstColumn="0" w:lastRowLastColumn="0"/>
            </w:pPr>
            <w:r>
              <w:t>Health Diagnostic and Promotion Professionals</w:t>
            </w:r>
          </w:p>
        </w:tc>
        <w:tc>
          <w:tcPr>
            <w:tcW w:w="2051" w:type="dxa"/>
          </w:tcPr>
          <w:p w14:paraId="48ECB294" w14:textId="557CEF6A" w:rsidR="005E683E" w:rsidRDefault="005E683E" w:rsidP="005E683E">
            <w:pPr>
              <w:pStyle w:val="TableText"/>
              <w:cnfStyle w:val="000000100000" w:firstRow="0" w:lastRow="0" w:firstColumn="0" w:lastColumn="0" w:oddVBand="0" w:evenVBand="0" w:oddHBand="1" w:evenHBand="0" w:firstRowFirstColumn="0" w:firstRowLastColumn="0" w:lastRowFirstColumn="0" w:lastRowLastColumn="0"/>
            </w:pPr>
            <w:r>
              <w:t>Automotive Electricians and Mechanics</w:t>
            </w:r>
          </w:p>
        </w:tc>
        <w:tc>
          <w:tcPr>
            <w:tcW w:w="1815" w:type="dxa"/>
          </w:tcPr>
          <w:p w14:paraId="3B8BC10A" w14:textId="77777777" w:rsidR="005E683E" w:rsidRDefault="005E683E" w:rsidP="005E683E">
            <w:pPr>
              <w:pStyle w:val="TableText"/>
              <w:cnfStyle w:val="000000100000" w:firstRow="0" w:lastRow="0" w:firstColumn="0" w:lastColumn="0" w:oddVBand="0" w:evenVBand="0" w:oddHBand="1" w:evenHBand="0" w:firstRowFirstColumn="0" w:firstRowLastColumn="0" w:lastRowFirstColumn="0" w:lastRowLastColumn="0"/>
            </w:pPr>
          </w:p>
        </w:tc>
        <w:tc>
          <w:tcPr>
            <w:tcW w:w="1832" w:type="dxa"/>
          </w:tcPr>
          <w:p w14:paraId="7B797E56" w14:textId="34F986CE" w:rsidR="005E683E" w:rsidRDefault="005E683E" w:rsidP="005E683E">
            <w:pPr>
              <w:pStyle w:val="TableText"/>
              <w:cnfStyle w:val="000000100000" w:firstRow="0" w:lastRow="0" w:firstColumn="0" w:lastColumn="0" w:oddVBand="0" w:evenVBand="0" w:oddHBand="1" w:evenHBand="0" w:firstRowFirstColumn="0" w:firstRowLastColumn="0" w:lastRowFirstColumn="0" w:lastRowLastColumn="0"/>
            </w:pPr>
            <w:r w:rsidRPr="00A220D6">
              <w:t>Personal Assistants and Secretaries</w:t>
            </w:r>
          </w:p>
        </w:tc>
        <w:tc>
          <w:tcPr>
            <w:tcW w:w="1828" w:type="dxa"/>
          </w:tcPr>
          <w:p w14:paraId="7EF0A40C" w14:textId="77777777" w:rsidR="005E683E" w:rsidRDefault="005E683E" w:rsidP="005E683E">
            <w:pPr>
              <w:pStyle w:val="TableText"/>
              <w:cnfStyle w:val="000000100000" w:firstRow="0" w:lastRow="0" w:firstColumn="0" w:lastColumn="0" w:oddVBand="0" w:evenVBand="0" w:oddHBand="1" w:evenHBand="0" w:firstRowFirstColumn="0" w:firstRowLastColumn="0" w:lastRowFirstColumn="0" w:lastRowLastColumn="0"/>
            </w:pPr>
          </w:p>
        </w:tc>
        <w:tc>
          <w:tcPr>
            <w:tcW w:w="1827" w:type="dxa"/>
          </w:tcPr>
          <w:p w14:paraId="70D25578" w14:textId="63B569BF" w:rsidR="005E683E" w:rsidRDefault="005E683E" w:rsidP="005E683E">
            <w:pPr>
              <w:pStyle w:val="TableText"/>
              <w:cnfStyle w:val="000000100000" w:firstRow="0" w:lastRow="0" w:firstColumn="0" w:lastColumn="0" w:oddVBand="0" w:evenVBand="0" w:oddHBand="1" w:evenHBand="0" w:firstRowFirstColumn="0" w:firstRowLastColumn="0" w:lastRowFirstColumn="0" w:lastRowLastColumn="0"/>
            </w:pPr>
            <w:r w:rsidRPr="00A220D6">
              <w:t>Machinery Operators and Drivers nfd</w:t>
            </w:r>
          </w:p>
        </w:tc>
        <w:tc>
          <w:tcPr>
            <w:tcW w:w="1832" w:type="dxa"/>
          </w:tcPr>
          <w:p w14:paraId="5025D933" w14:textId="77777777" w:rsidR="005E683E" w:rsidRDefault="005E683E" w:rsidP="005E683E">
            <w:pPr>
              <w:pStyle w:val="TableText"/>
              <w:cnfStyle w:val="000000100000" w:firstRow="0" w:lastRow="0" w:firstColumn="0" w:lastColumn="0" w:oddVBand="0" w:evenVBand="0" w:oddHBand="1" w:evenHBand="0" w:firstRowFirstColumn="0" w:firstRowLastColumn="0" w:lastRowFirstColumn="0" w:lastRowLastColumn="0"/>
            </w:pPr>
          </w:p>
        </w:tc>
      </w:tr>
      <w:tr w:rsidR="005E683E" w14:paraId="641B9AC3" w14:textId="77777777" w:rsidTr="00287A5B">
        <w:tc>
          <w:tcPr>
            <w:cnfStyle w:val="001000000000" w:firstRow="0" w:lastRow="0" w:firstColumn="1" w:lastColumn="0" w:oddVBand="0" w:evenVBand="0" w:oddHBand="0" w:evenHBand="0" w:firstRowFirstColumn="0" w:firstRowLastColumn="0" w:lastRowFirstColumn="0" w:lastRowLastColumn="0"/>
            <w:tcW w:w="1831" w:type="dxa"/>
          </w:tcPr>
          <w:p w14:paraId="42948A2A" w14:textId="77777777" w:rsidR="005E683E" w:rsidRPr="005E683E" w:rsidRDefault="005E683E" w:rsidP="005E683E">
            <w:pPr>
              <w:pStyle w:val="TableText"/>
              <w:rPr>
                <w:b w:val="0"/>
                <w:bCs/>
              </w:rPr>
            </w:pPr>
          </w:p>
        </w:tc>
        <w:tc>
          <w:tcPr>
            <w:tcW w:w="1827" w:type="dxa"/>
          </w:tcPr>
          <w:p w14:paraId="57854BBE" w14:textId="41A6A738" w:rsidR="005E683E" w:rsidRDefault="005E683E" w:rsidP="005E683E">
            <w:pPr>
              <w:pStyle w:val="TableText"/>
              <w:cnfStyle w:val="000000000000" w:firstRow="0" w:lastRow="0" w:firstColumn="0" w:lastColumn="0" w:oddVBand="0" w:evenVBand="0" w:oddHBand="0" w:evenHBand="0" w:firstRowFirstColumn="0" w:firstRowLastColumn="0" w:lastRowFirstColumn="0" w:lastRowLastColumn="0"/>
            </w:pPr>
            <w:r>
              <w:t>ICT Network and Support Professionals</w:t>
            </w:r>
          </w:p>
        </w:tc>
        <w:tc>
          <w:tcPr>
            <w:tcW w:w="2051" w:type="dxa"/>
          </w:tcPr>
          <w:p w14:paraId="2FB793BD" w14:textId="3169D939" w:rsidR="005E683E" w:rsidRDefault="005E683E" w:rsidP="005E683E">
            <w:pPr>
              <w:pStyle w:val="TableText"/>
              <w:cnfStyle w:val="000000000000" w:firstRow="0" w:lastRow="0" w:firstColumn="0" w:lastColumn="0" w:oddVBand="0" w:evenVBand="0" w:oddHBand="0" w:evenHBand="0" w:firstRowFirstColumn="0" w:firstRowLastColumn="0" w:lastRowFirstColumn="0" w:lastRowLastColumn="0"/>
            </w:pPr>
            <w:r>
              <w:t>Automotive and Engineering Trades Workers nfd</w:t>
            </w:r>
          </w:p>
        </w:tc>
        <w:tc>
          <w:tcPr>
            <w:tcW w:w="1815" w:type="dxa"/>
          </w:tcPr>
          <w:p w14:paraId="30AB79BA" w14:textId="77777777" w:rsidR="005E683E" w:rsidRDefault="005E683E" w:rsidP="005E683E">
            <w:pPr>
              <w:pStyle w:val="TableText"/>
              <w:cnfStyle w:val="000000000000" w:firstRow="0" w:lastRow="0" w:firstColumn="0" w:lastColumn="0" w:oddVBand="0" w:evenVBand="0" w:oddHBand="0" w:evenHBand="0" w:firstRowFirstColumn="0" w:firstRowLastColumn="0" w:lastRowFirstColumn="0" w:lastRowLastColumn="0"/>
            </w:pPr>
          </w:p>
        </w:tc>
        <w:tc>
          <w:tcPr>
            <w:tcW w:w="1832" w:type="dxa"/>
          </w:tcPr>
          <w:p w14:paraId="3D6993A9" w14:textId="44BF3D4B" w:rsidR="005E683E" w:rsidRDefault="005E683E" w:rsidP="005E683E">
            <w:pPr>
              <w:pStyle w:val="TableText"/>
              <w:cnfStyle w:val="000000000000" w:firstRow="0" w:lastRow="0" w:firstColumn="0" w:lastColumn="0" w:oddVBand="0" w:evenVBand="0" w:oddHBand="0" w:evenHBand="0" w:firstRowFirstColumn="0" w:firstRowLastColumn="0" w:lastRowFirstColumn="0" w:lastRowLastColumn="0"/>
            </w:pPr>
            <w:r w:rsidRPr="00A220D6">
              <w:t>Contract, Program and Project Administrators</w:t>
            </w:r>
          </w:p>
        </w:tc>
        <w:tc>
          <w:tcPr>
            <w:tcW w:w="1828" w:type="dxa"/>
          </w:tcPr>
          <w:p w14:paraId="165291FD" w14:textId="77777777" w:rsidR="005E683E" w:rsidRDefault="005E683E" w:rsidP="005E683E">
            <w:pPr>
              <w:pStyle w:val="TableText"/>
              <w:cnfStyle w:val="000000000000" w:firstRow="0" w:lastRow="0" w:firstColumn="0" w:lastColumn="0" w:oddVBand="0" w:evenVBand="0" w:oddHBand="0" w:evenHBand="0" w:firstRowFirstColumn="0" w:firstRowLastColumn="0" w:lastRowFirstColumn="0" w:lastRowLastColumn="0"/>
            </w:pPr>
          </w:p>
        </w:tc>
        <w:tc>
          <w:tcPr>
            <w:tcW w:w="1827" w:type="dxa"/>
          </w:tcPr>
          <w:p w14:paraId="78B75758" w14:textId="779F3B10" w:rsidR="005E683E" w:rsidRDefault="005E683E" w:rsidP="005E683E">
            <w:pPr>
              <w:pStyle w:val="TableText"/>
              <w:cnfStyle w:val="000000000000" w:firstRow="0" w:lastRow="0" w:firstColumn="0" w:lastColumn="0" w:oddVBand="0" w:evenVBand="0" w:oddHBand="0" w:evenHBand="0" w:firstRowFirstColumn="0" w:firstRowLastColumn="0" w:lastRowFirstColumn="0" w:lastRowLastColumn="0"/>
            </w:pPr>
            <w:r w:rsidRPr="00A220D6">
              <w:t>Storepersons</w:t>
            </w:r>
          </w:p>
        </w:tc>
        <w:tc>
          <w:tcPr>
            <w:tcW w:w="1832" w:type="dxa"/>
          </w:tcPr>
          <w:p w14:paraId="2C9ED344" w14:textId="77777777" w:rsidR="005E683E" w:rsidRDefault="005E683E" w:rsidP="005E683E">
            <w:pPr>
              <w:pStyle w:val="TableText"/>
              <w:cnfStyle w:val="000000000000" w:firstRow="0" w:lastRow="0" w:firstColumn="0" w:lastColumn="0" w:oddVBand="0" w:evenVBand="0" w:oddHBand="0" w:evenHBand="0" w:firstRowFirstColumn="0" w:firstRowLastColumn="0" w:lastRowFirstColumn="0" w:lastRowLastColumn="0"/>
            </w:pPr>
          </w:p>
        </w:tc>
      </w:tr>
      <w:tr w:rsidR="005E683E" w14:paraId="2844BD07" w14:textId="77777777" w:rsidTr="00287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1" w:type="dxa"/>
          </w:tcPr>
          <w:p w14:paraId="120D1A7C" w14:textId="77777777" w:rsidR="005E683E" w:rsidRDefault="005E683E" w:rsidP="005E683E">
            <w:pPr>
              <w:pStyle w:val="TableText"/>
            </w:pPr>
          </w:p>
        </w:tc>
        <w:tc>
          <w:tcPr>
            <w:tcW w:w="1827" w:type="dxa"/>
          </w:tcPr>
          <w:p w14:paraId="1BBDD340" w14:textId="32A9C654" w:rsidR="005E683E" w:rsidRDefault="005E683E" w:rsidP="005E683E">
            <w:pPr>
              <w:pStyle w:val="TableText"/>
              <w:cnfStyle w:val="000000100000" w:firstRow="0" w:lastRow="0" w:firstColumn="0" w:lastColumn="0" w:oddVBand="0" w:evenVBand="0" w:oddHBand="1" w:evenHBand="0" w:firstRowFirstColumn="0" w:firstRowLastColumn="0" w:lastRowFirstColumn="0" w:lastRowLastColumn="0"/>
            </w:pPr>
            <w:r>
              <w:t>Sales, Marketing and Public Relations Professionals</w:t>
            </w:r>
          </w:p>
        </w:tc>
        <w:tc>
          <w:tcPr>
            <w:tcW w:w="2051" w:type="dxa"/>
          </w:tcPr>
          <w:p w14:paraId="5C5E0DAC" w14:textId="362A658C" w:rsidR="005E683E" w:rsidRDefault="005E683E" w:rsidP="005E683E">
            <w:pPr>
              <w:pStyle w:val="TableText"/>
              <w:cnfStyle w:val="000000100000" w:firstRow="0" w:lastRow="0" w:firstColumn="0" w:lastColumn="0" w:oddVBand="0" w:evenVBand="0" w:oddHBand="1" w:evenHBand="0" w:firstRowFirstColumn="0" w:firstRowLastColumn="0" w:lastRowFirstColumn="0" w:lastRowLastColumn="0"/>
            </w:pPr>
            <w:r>
              <w:t>Agricultural, Medical and Science Technicians</w:t>
            </w:r>
          </w:p>
        </w:tc>
        <w:tc>
          <w:tcPr>
            <w:tcW w:w="1815" w:type="dxa"/>
          </w:tcPr>
          <w:p w14:paraId="1F3F6E02" w14:textId="77777777" w:rsidR="005E683E" w:rsidRDefault="005E683E" w:rsidP="005E683E">
            <w:pPr>
              <w:pStyle w:val="TableText"/>
              <w:cnfStyle w:val="000000100000" w:firstRow="0" w:lastRow="0" w:firstColumn="0" w:lastColumn="0" w:oddVBand="0" w:evenVBand="0" w:oddHBand="1" w:evenHBand="0" w:firstRowFirstColumn="0" w:firstRowLastColumn="0" w:lastRowFirstColumn="0" w:lastRowLastColumn="0"/>
            </w:pPr>
          </w:p>
        </w:tc>
        <w:tc>
          <w:tcPr>
            <w:tcW w:w="1832" w:type="dxa"/>
          </w:tcPr>
          <w:p w14:paraId="5F6BF321" w14:textId="13868E51" w:rsidR="005E683E" w:rsidRDefault="005E683E" w:rsidP="005E683E">
            <w:pPr>
              <w:pStyle w:val="TableText"/>
              <w:cnfStyle w:val="000000100000" w:firstRow="0" w:lastRow="0" w:firstColumn="0" w:lastColumn="0" w:oddVBand="0" w:evenVBand="0" w:oddHBand="1" w:evenHBand="0" w:firstRowFirstColumn="0" w:firstRowLastColumn="0" w:lastRowFirstColumn="0" w:lastRowLastColumn="0"/>
            </w:pPr>
            <w:r w:rsidRPr="00A220D6">
              <w:t>Keyboard Operators</w:t>
            </w:r>
          </w:p>
        </w:tc>
        <w:tc>
          <w:tcPr>
            <w:tcW w:w="1828" w:type="dxa"/>
          </w:tcPr>
          <w:p w14:paraId="4B5B1FDD" w14:textId="77777777" w:rsidR="005E683E" w:rsidRDefault="005E683E" w:rsidP="005E683E">
            <w:pPr>
              <w:pStyle w:val="TableText"/>
              <w:cnfStyle w:val="000000100000" w:firstRow="0" w:lastRow="0" w:firstColumn="0" w:lastColumn="0" w:oddVBand="0" w:evenVBand="0" w:oddHBand="1" w:evenHBand="0" w:firstRowFirstColumn="0" w:firstRowLastColumn="0" w:lastRowFirstColumn="0" w:lastRowLastColumn="0"/>
            </w:pPr>
          </w:p>
        </w:tc>
        <w:tc>
          <w:tcPr>
            <w:tcW w:w="1827" w:type="dxa"/>
          </w:tcPr>
          <w:p w14:paraId="01E24A30" w14:textId="77777777" w:rsidR="005E683E" w:rsidRDefault="005E683E" w:rsidP="005E683E">
            <w:pPr>
              <w:pStyle w:val="TableText"/>
              <w:cnfStyle w:val="000000100000" w:firstRow="0" w:lastRow="0" w:firstColumn="0" w:lastColumn="0" w:oddVBand="0" w:evenVBand="0" w:oddHBand="1" w:evenHBand="0" w:firstRowFirstColumn="0" w:firstRowLastColumn="0" w:lastRowFirstColumn="0" w:lastRowLastColumn="0"/>
            </w:pPr>
          </w:p>
        </w:tc>
        <w:tc>
          <w:tcPr>
            <w:tcW w:w="1832" w:type="dxa"/>
          </w:tcPr>
          <w:p w14:paraId="6144D24D" w14:textId="77777777" w:rsidR="005E683E" w:rsidRDefault="005E683E" w:rsidP="005E683E">
            <w:pPr>
              <w:pStyle w:val="TableText"/>
              <w:cnfStyle w:val="000000100000" w:firstRow="0" w:lastRow="0" w:firstColumn="0" w:lastColumn="0" w:oddVBand="0" w:evenVBand="0" w:oddHBand="1" w:evenHBand="0" w:firstRowFirstColumn="0" w:firstRowLastColumn="0" w:lastRowFirstColumn="0" w:lastRowLastColumn="0"/>
            </w:pPr>
          </w:p>
        </w:tc>
      </w:tr>
      <w:tr w:rsidR="005E683E" w14:paraId="67DE7C09" w14:textId="77777777" w:rsidTr="00287A5B">
        <w:tc>
          <w:tcPr>
            <w:cnfStyle w:val="001000000000" w:firstRow="0" w:lastRow="0" w:firstColumn="1" w:lastColumn="0" w:oddVBand="0" w:evenVBand="0" w:oddHBand="0" w:evenHBand="0" w:firstRowFirstColumn="0" w:firstRowLastColumn="0" w:lastRowFirstColumn="0" w:lastRowLastColumn="0"/>
            <w:tcW w:w="1831" w:type="dxa"/>
          </w:tcPr>
          <w:p w14:paraId="701472FB" w14:textId="77777777" w:rsidR="005E683E" w:rsidRDefault="005E683E" w:rsidP="005E683E">
            <w:pPr>
              <w:pStyle w:val="TableText"/>
            </w:pPr>
          </w:p>
        </w:tc>
        <w:tc>
          <w:tcPr>
            <w:tcW w:w="1827" w:type="dxa"/>
          </w:tcPr>
          <w:p w14:paraId="5B8C0549" w14:textId="2C0E86D4" w:rsidR="005E683E" w:rsidRDefault="005E683E" w:rsidP="005E683E">
            <w:pPr>
              <w:pStyle w:val="TableText"/>
              <w:cnfStyle w:val="000000000000" w:firstRow="0" w:lastRow="0" w:firstColumn="0" w:lastColumn="0" w:oddVBand="0" w:evenVBand="0" w:oddHBand="0" w:evenHBand="0" w:firstRowFirstColumn="0" w:firstRowLastColumn="0" w:lastRowFirstColumn="0" w:lastRowLastColumn="0"/>
            </w:pPr>
            <w:r>
              <w:t>Information and Organisation Professionals</w:t>
            </w:r>
          </w:p>
        </w:tc>
        <w:tc>
          <w:tcPr>
            <w:tcW w:w="2051" w:type="dxa"/>
          </w:tcPr>
          <w:p w14:paraId="25B3B656" w14:textId="44573ED8" w:rsidR="005E683E" w:rsidRDefault="005E683E" w:rsidP="005E683E">
            <w:pPr>
              <w:pStyle w:val="TableText"/>
              <w:cnfStyle w:val="000000000000" w:firstRow="0" w:lastRow="0" w:firstColumn="0" w:lastColumn="0" w:oddVBand="0" w:evenVBand="0" w:oddHBand="0" w:evenHBand="0" w:firstRowFirstColumn="0" w:firstRowLastColumn="0" w:lastRowFirstColumn="0" w:lastRowLastColumn="0"/>
            </w:pPr>
            <w:r>
              <w:t>Technicians and Trades Workers nfd</w:t>
            </w:r>
          </w:p>
        </w:tc>
        <w:tc>
          <w:tcPr>
            <w:tcW w:w="1815" w:type="dxa"/>
          </w:tcPr>
          <w:p w14:paraId="7A66BB88" w14:textId="77777777" w:rsidR="005E683E" w:rsidRDefault="005E683E" w:rsidP="005E683E">
            <w:pPr>
              <w:pStyle w:val="TableText"/>
              <w:cnfStyle w:val="000000000000" w:firstRow="0" w:lastRow="0" w:firstColumn="0" w:lastColumn="0" w:oddVBand="0" w:evenVBand="0" w:oddHBand="0" w:evenHBand="0" w:firstRowFirstColumn="0" w:firstRowLastColumn="0" w:lastRowFirstColumn="0" w:lastRowLastColumn="0"/>
            </w:pPr>
          </w:p>
        </w:tc>
        <w:tc>
          <w:tcPr>
            <w:tcW w:w="1832" w:type="dxa"/>
          </w:tcPr>
          <w:p w14:paraId="52355CBF" w14:textId="6212B76A" w:rsidR="005E683E" w:rsidRDefault="005E683E" w:rsidP="005E683E">
            <w:pPr>
              <w:pStyle w:val="TableText"/>
              <w:cnfStyle w:val="000000000000" w:firstRow="0" w:lastRow="0" w:firstColumn="0" w:lastColumn="0" w:oddVBand="0" w:evenVBand="0" w:oddHBand="0" w:evenHBand="0" w:firstRowFirstColumn="0" w:firstRowLastColumn="0" w:lastRowFirstColumn="0" w:lastRowLastColumn="0"/>
            </w:pPr>
            <w:r w:rsidRPr="00A220D6">
              <w:t>Office and Practice Managers</w:t>
            </w:r>
          </w:p>
        </w:tc>
        <w:tc>
          <w:tcPr>
            <w:tcW w:w="1828" w:type="dxa"/>
          </w:tcPr>
          <w:p w14:paraId="6433ED77" w14:textId="77777777" w:rsidR="005E683E" w:rsidRDefault="005E683E" w:rsidP="005E683E">
            <w:pPr>
              <w:pStyle w:val="TableText"/>
              <w:cnfStyle w:val="000000000000" w:firstRow="0" w:lastRow="0" w:firstColumn="0" w:lastColumn="0" w:oddVBand="0" w:evenVBand="0" w:oddHBand="0" w:evenHBand="0" w:firstRowFirstColumn="0" w:firstRowLastColumn="0" w:lastRowFirstColumn="0" w:lastRowLastColumn="0"/>
            </w:pPr>
          </w:p>
        </w:tc>
        <w:tc>
          <w:tcPr>
            <w:tcW w:w="1827" w:type="dxa"/>
          </w:tcPr>
          <w:p w14:paraId="3729E584" w14:textId="77777777" w:rsidR="005E683E" w:rsidRDefault="005E683E" w:rsidP="005E683E">
            <w:pPr>
              <w:pStyle w:val="TableText"/>
              <w:cnfStyle w:val="000000000000" w:firstRow="0" w:lastRow="0" w:firstColumn="0" w:lastColumn="0" w:oddVBand="0" w:evenVBand="0" w:oddHBand="0" w:evenHBand="0" w:firstRowFirstColumn="0" w:firstRowLastColumn="0" w:lastRowFirstColumn="0" w:lastRowLastColumn="0"/>
            </w:pPr>
          </w:p>
        </w:tc>
        <w:tc>
          <w:tcPr>
            <w:tcW w:w="1832" w:type="dxa"/>
          </w:tcPr>
          <w:p w14:paraId="5D56D962" w14:textId="77777777" w:rsidR="005E683E" w:rsidRDefault="005E683E" w:rsidP="005E683E">
            <w:pPr>
              <w:pStyle w:val="TableText"/>
              <w:cnfStyle w:val="000000000000" w:firstRow="0" w:lastRow="0" w:firstColumn="0" w:lastColumn="0" w:oddVBand="0" w:evenVBand="0" w:oddHBand="0" w:evenHBand="0" w:firstRowFirstColumn="0" w:firstRowLastColumn="0" w:lastRowFirstColumn="0" w:lastRowLastColumn="0"/>
            </w:pPr>
          </w:p>
        </w:tc>
      </w:tr>
      <w:tr w:rsidR="005E683E" w14:paraId="4E8520A4" w14:textId="77777777" w:rsidTr="00287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1" w:type="dxa"/>
          </w:tcPr>
          <w:p w14:paraId="5D4953A3" w14:textId="77777777" w:rsidR="005E683E" w:rsidRDefault="005E683E" w:rsidP="005E683E">
            <w:pPr>
              <w:pStyle w:val="TableText"/>
            </w:pPr>
          </w:p>
        </w:tc>
        <w:tc>
          <w:tcPr>
            <w:tcW w:w="1827" w:type="dxa"/>
          </w:tcPr>
          <w:p w14:paraId="611A8368" w14:textId="77777777" w:rsidR="005E683E" w:rsidRDefault="005E683E" w:rsidP="005E683E">
            <w:pPr>
              <w:pStyle w:val="TableText"/>
              <w:cnfStyle w:val="000000100000" w:firstRow="0" w:lastRow="0" w:firstColumn="0" w:lastColumn="0" w:oddVBand="0" w:evenVBand="0" w:oddHBand="1" w:evenHBand="0" w:firstRowFirstColumn="0" w:firstRowLastColumn="0" w:lastRowFirstColumn="0" w:lastRowLastColumn="0"/>
            </w:pPr>
          </w:p>
        </w:tc>
        <w:tc>
          <w:tcPr>
            <w:tcW w:w="2051" w:type="dxa"/>
          </w:tcPr>
          <w:p w14:paraId="51301BE6" w14:textId="03133A46" w:rsidR="005E683E" w:rsidRDefault="005E683E" w:rsidP="005E683E">
            <w:pPr>
              <w:pStyle w:val="TableText"/>
              <w:cnfStyle w:val="000000100000" w:firstRow="0" w:lastRow="0" w:firstColumn="0" w:lastColumn="0" w:oddVBand="0" w:evenVBand="0" w:oddHBand="1" w:evenHBand="0" w:firstRowFirstColumn="0" w:firstRowLastColumn="0" w:lastRowFirstColumn="0" w:lastRowLastColumn="0"/>
            </w:pPr>
            <w:r>
              <w:t>Electronics and Telecommunications Trades Workers</w:t>
            </w:r>
          </w:p>
        </w:tc>
        <w:tc>
          <w:tcPr>
            <w:tcW w:w="1815" w:type="dxa"/>
          </w:tcPr>
          <w:p w14:paraId="3DAB2EB5" w14:textId="77777777" w:rsidR="005E683E" w:rsidRDefault="005E683E" w:rsidP="005E683E">
            <w:pPr>
              <w:pStyle w:val="TableText"/>
              <w:cnfStyle w:val="000000100000" w:firstRow="0" w:lastRow="0" w:firstColumn="0" w:lastColumn="0" w:oddVBand="0" w:evenVBand="0" w:oddHBand="1" w:evenHBand="0" w:firstRowFirstColumn="0" w:firstRowLastColumn="0" w:lastRowFirstColumn="0" w:lastRowLastColumn="0"/>
            </w:pPr>
          </w:p>
        </w:tc>
        <w:tc>
          <w:tcPr>
            <w:tcW w:w="1832" w:type="dxa"/>
          </w:tcPr>
          <w:p w14:paraId="6B2B9BA9" w14:textId="77777777" w:rsidR="005E683E" w:rsidRDefault="005E683E" w:rsidP="005E683E">
            <w:pPr>
              <w:pStyle w:val="TableText"/>
              <w:cnfStyle w:val="000000100000" w:firstRow="0" w:lastRow="0" w:firstColumn="0" w:lastColumn="0" w:oddVBand="0" w:evenVBand="0" w:oddHBand="1" w:evenHBand="0" w:firstRowFirstColumn="0" w:firstRowLastColumn="0" w:lastRowFirstColumn="0" w:lastRowLastColumn="0"/>
            </w:pPr>
          </w:p>
        </w:tc>
        <w:tc>
          <w:tcPr>
            <w:tcW w:w="1828" w:type="dxa"/>
          </w:tcPr>
          <w:p w14:paraId="02FF8E4C" w14:textId="77777777" w:rsidR="005E683E" w:rsidRDefault="005E683E" w:rsidP="005E683E">
            <w:pPr>
              <w:pStyle w:val="TableText"/>
              <w:cnfStyle w:val="000000100000" w:firstRow="0" w:lastRow="0" w:firstColumn="0" w:lastColumn="0" w:oddVBand="0" w:evenVBand="0" w:oddHBand="1" w:evenHBand="0" w:firstRowFirstColumn="0" w:firstRowLastColumn="0" w:lastRowFirstColumn="0" w:lastRowLastColumn="0"/>
            </w:pPr>
          </w:p>
        </w:tc>
        <w:tc>
          <w:tcPr>
            <w:tcW w:w="1827" w:type="dxa"/>
          </w:tcPr>
          <w:p w14:paraId="21029C4E" w14:textId="77777777" w:rsidR="005E683E" w:rsidRDefault="005E683E" w:rsidP="005E683E">
            <w:pPr>
              <w:pStyle w:val="TableText"/>
              <w:cnfStyle w:val="000000100000" w:firstRow="0" w:lastRow="0" w:firstColumn="0" w:lastColumn="0" w:oddVBand="0" w:evenVBand="0" w:oddHBand="1" w:evenHBand="0" w:firstRowFirstColumn="0" w:firstRowLastColumn="0" w:lastRowFirstColumn="0" w:lastRowLastColumn="0"/>
            </w:pPr>
          </w:p>
        </w:tc>
        <w:tc>
          <w:tcPr>
            <w:tcW w:w="1832" w:type="dxa"/>
          </w:tcPr>
          <w:p w14:paraId="7C3313A2" w14:textId="77777777" w:rsidR="005E683E" w:rsidRDefault="005E683E" w:rsidP="005E683E">
            <w:pPr>
              <w:pStyle w:val="TableText"/>
              <w:cnfStyle w:val="000000100000" w:firstRow="0" w:lastRow="0" w:firstColumn="0" w:lastColumn="0" w:oddVBand="0" w:evenVBand="0" w:oddHBand="1" w:evenHBand="0" w:firstRowFirstColumn="0" w:firstRowLastColumn="0" w:lastRowFirstColumn="0" w:lastRowLastColumn="0"/>
            </w:pPr>
          </w:p>
        </w:tc>
      </w:tr>
      <w:tr w:rsidR="005E683E" w14:paraId="28E8286A" w14:textId="77777777" w:rsidTr="00287A5B">
        <w:tc>
          <w:tcPr>
            <w:cnfStyle w:val="001000000000" w:firstRow="0" w:lastRow="0" w:firstColumn="1" w:lastColumn="0" w:oddVBand="0" w:evenVBand="0" w:oddHBand="0" w:evenHBand="0" w:firstRowFirstColumn="0" w:firstRowLastColumn="0" w:lastRowFirstColumn="0" w:lastRowLastColumn="0"/>
            <w:tcW w:w="1831" w:type="dxa"/>
          </w:tcPr>
          <w:p w14:paraId="644217E8" w14:textId="77777777" w:rsidR="005E683E" w:rsidRDefault="005E683E" w:rsidP="005E683E">
            <w:pPr>
              <w:pStyle w:val="TableText"/>
            </w:pPr>
          </w:p>
        </w:tc>
        <w:tc>
          <w:tcPr>
            <w:tcW w:w="1827" w:type="dxa"/>
          </w:tcPr>
          <w:p w14:paraId="569C0170" w14:textId="77777777" w:rsidR="005E683E" w:rsidRDefault="005E683E" w:rsidP="005E683E">
            <w:pPr>
              <w:pStyle w:val="TableText"/>
              <w:cnfStyle w:val="000000000000" w:firstRow="0" w:lastRow="0" w:firstColumn="0" w:lastColumn="0" w:oddVBand="0" w:evenVBand="0" w:oddHBand="0" w:evenHBand="0" w:firstRowFirstColumn="0" w:firstRowLastColumn="0" w:lastRowFirstColumn="0" w:lastRowLastColumn="0"/>
            </w:pPr>
          </w:p>
        </w:tc>
        <w:tc>
          <w:tcPr>
            <w:tcW w:w="2051" w:type="dxa"/>
          </w:tcPr>
          <w:p w14:paraId="39EFFD94" w14:textId="13AF3DF7" w:rsidR="005E683E" w:rsidRDefault="005E683E" w:rsidP="005E683E">
            <w:pPr>
              <w:pStyle w:val="TableText"/>
              <w:cnfStyle w:val="000000000000" w:firstRow="0" w:lastRow="0" w:firstColumn="0" w:lastColumn="0" w:oddVBand="0" w:evenVBand="0" w:oddHBand="0" w:evenHBand="0" w:firstRowFirstColumn="0" w:firstRowLastColumn="0" w:lastRowFirstColumn="0" w:lastRowLastColumn="0"/>
            </w:pPr>
            <w:r>
              <w:t>Engineering, ICT and Science Technicians nfd</w:t>
            </w:r>
          </w:p>
        </w:tc>
        <w:tc>
          <w:tcPr>
            <w:tcW w:w="1815" w:type="dxa"/>
          </w:tcPr>
          <w:p w14:paraId="46DFF314" w14:textId="77777777" w:rsidR="005E683E" w:rsidRDefault="005E683E" w:rsidP="005E683E">
            <w:pPr>
              <w:pStyle w:val="TableText"/>
              <w:cnfStyle w:val="000000000000" w:firstRow="0" w:lastRow="0" w:firstColumn="0" w:lastColumn="0" w:oddVBand="0" w:evenVBand="0" w:oddHBand="0" w:evenHBand="0" w:firstRowFirstColumn="0" w:firstRowLastColumn="0" w:lastRowFirstColumn="0" w:lastRowLastColumn="0"/>
            </w:pPr>
          </w:p>
        </w:tc>
        <w:tc>
          <w:tcPr>
            <w:tcW w:w="1832" w:type="dxa"/>
          </w:tcPr>
          <w:p w14:paraId="187D17B7" w14:textId="77777777" w:rsidR="005E683E" w:rsidRDefault="005E683E" w:rsidP="005E683E">
            <w:pPr>
              <w:pStyle w:val="TableText"/>
              <w:cnfStyle w:val="000000000000" w:firstRow="0" w:lastRow="0" w:firstColumn="0" w:lastColumn="0" w:oddVBand="0" w:evenVBand="0" w:oddHBand="0" w:evenHBand="0" w:firstRowFirstColumn="0" w:firstRowLastColumn="0" w:lastRowFirstColumn="0" w:lastRowLastColumn="0"/>
            </w:pPr>
          </w:p>
        </w:tc>
        <w:tc>
          <w:tcPr>
            <w:tcW w:w="1828" w:type="dxa"/>
          </w:tcPr>
          <w:p w14:paraId="12038BF8" w14:textId="77777777" w:rsidR="005E683E" w:rsidRDefault="005E683E" w:rsidP="005E683E">
            <w:pPr>
              <w:pStyle w:val="TableText"/>
              <w:cnfStyle w:val="000000000000" w:firstRow="0" w:lastRow="0" w:firstColumn="0" w:lastColumn="0" w:oddVBand="0" w:evenVBand="0" w:oddHBand="0" w:evenHBand="0" w:firstRowFirstColumn="0" w:firstRowLastColumn="0" w:lastRowFirstColumn="0" w:lastRowLastColumn="0"/>
            </w:pPr>
          </w:p>
        </w:tc>
        <w:tc>
          <w:tcPr>
            <w:tcW w:w="1827" w:type="dxa"/>
          </w:tcPr>
          <w:p w14:paraId="2D1D5D52" w14:textId="77777777" w:rsidR="005E683E" w:rsidRDefault="005E683E" w:rsidP="005E683E">
            <w:pPr>
              <w:pStyle w:val="TableText"/>
              <w:cnfStyle w:val="000000000000" w:firstRow="0" w:lastRow="0" w:firstColumn="0" w:lastColumn="0" w:oddVBand="0" w:evenVBand="0" w:oddHBand="0" w:evenHBand="0" w:firstRowFirstColumn="0" w:firstRowLastColumn="0" w:lastRowFirstColumn="0" w:lastRowLastColumn="0"/>
            </w:pPr>
          </w:p>
        </w:tc>
        <w:tc>
          <w:tcPr>
            <w:tcW w:w="1832" w:type="dxa"/>
          </w:tcPr>
          <w:p w14:paraId="5A91DD6B" w14:textId="77777777" w:rsidR="005E683E" w:rsidRDefault="005E683E" w:rsidP="005E683E">
            <w:pPr>
              <w:pStyle w:val="TableText"/>
              <w:cnfStyle w:val="000000000000" w:firstRow="0" w:lastRow="0" w:firstColumn="0" w:lastColumn="0" w:oddVBand="0" w:evenVBand="0" w:oddHBand="0" w:evenHBand="0" w:firstRowFirstColumn="0" w:firstRowLastColumn="0" w:lastRowFirstColumn="0" w:lastRowLastColumn="0"/>
            </w:pPr>
          </w:p>
        </w:tc>
      </w:tr>
    </w:tbl>
    <w:p w14:paraId="021D2FB5" w14:textId="5BFDA128" w:rsidR="00C74E25" w:rsidRDefault="00C74E25" w:rsidP="00C74E25"/>
    <w:p w14:paraId="2A320625" w14:textId="77777777" w:rsidR="00C74E25" w:rsidRDefault="00C74E25" w:rsidP="00C74E25">
      <w:pPr>
        <w:sectPr w:rsidR="00C74E25" w:rsidSect="00C74E25">
          <w:endnotePr>
            <w:numFmt w:val="decimal"/>
          </w:endnotePr>
          <w:pgSz w:w="16838" w:h="11899" w:orient="landscape"/>
          <w:pgMar w:top="1134" w:right="1418" w:bottom="1134" w:left="567" w:header="567" w:footer="851" w:gutter="0"/>
          <w:cols w:space="708"/>
          <w:docGrid w:linePitch="299"/>
        </w:sectPr>
      </w:pPr>
    </w:p>
    <w:p w14:paraId="55A6C0EE" w14:textId="22D9B7C6" w:rsidR="008920C8" w:rsidRDefault="008920C8" w:rsidP="005F3456">
      <w:pPr>
        <w:pStyle w:val="UnnumberedHeading1"/>
      </w:pPr>
      <w:bookmarkStart w:id="177" w:name="_Attachment_D_–_1"/>
      <w:bookmarkStart w:id="178" w:name="_Attachment_D_–"/>
      <w:bookmarkStart w:id="179" w:name="_Attachment_E_–"/>
      <w:bookmarkStart w:id="180" w:name="_Toc23836340"/>
      <w:bookmarkEnd w:id="177"/>
      <w:bookmarkEnd w:id="178"/>
      <w:bookmarkEnd w:id="179"/>
      <w:r w:rsidRPr="009F3FA0">
        <w:lastRenderedPageBreak/>
        <w:t>Bibliography</w:t>
      </w:r>
      <w:bookmarkEnd w:id="180"/>
    </w:p>
    <w:tbl>
      <w:tblPr>
        <w:tblStyle w:val="ListTable4-Accent11"/>
        <w:tblW w:w="0" w:type="auto"/>
        <w:tblLook w:val="04A0" w:firstRow="1" w:lastRow="0" w:firstColumn="1" w:lastColumn="0" w:noHBand="0" w:noVBand="1"/>
      </w:tblPr>
      <w:tblGrid>
        <w:gridCol w:w="4815"/>
        <w:gridCol w:w="3544"/>
        <w:gridCol w:w="1262"/>
      </w:tblGrid>
      <w:tr w:rsidR="00261D9E" w14:paraId="5EA7FFF5" w14:textId="77777777" w:rsidTr="00261D9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5" w:type="dxa"/>
            <w:vAlign w:val="center"/>
          </w:tcPr>
          <w:p w14:paraId="0D0227A5" w14:textId="77777777" w:rsidR="00261D9E" w:rsidRDefault="00261D9E" w:rsidP="00261D9E">
            <w:pPr>
              <w:pStyle w:val="TableHeading"/>
            </w:pPr>
            <w:r>
              <w:t>Title</w:t>
            </w:r>
          </w:p>
        </w:tc>
        <w:tc>
          <w:tcPr>
            <w:tcW w:w="3544" w:type="dxa"/>
            <w:vAlign w:val="center"/>
          </w:tcPr>
          <w:p w14:paraId="26B7AE4C" w14:textId="77777777" w:rsidR="00261D9E" w:rsidRDefault="00261D9E" w:rsidP="00261D9E">
            <w:pPr>
              <w:pStyle w:val="TableHeading"/>
              <w:cnfStyle w:val="100000000000" w:firstRow="1" w:lastRow="0" w:firstColumn="0" w:lastColumn="0" w:oddVBand="0" w:evenVBand="0" w:oddHBand="0" w:evenHBand="0" w:firstRowFirstColumn="0" w:firstRowLastColumn="0" w:lastRowFirstColumn="0" w:lastRowLastColumn="0"/>
            </w:pPr>
            <w:r>
              <w:t>Author</w:t>
            </w:r>
          </w:p>
        </w:tc>
        <w:tc>
          <w:tcPr>
            <w:tcW w:w="1262" w:type="dxa"/>
            <w:vAlign w:val="center"/>
          </w:tcPr>
          <w:p w14:paraId="6FA66CC7" w14:textId="77777777" w:rsidR="00261D9E" w:rsidRDefault="00261D9E" w:rsidP="00261D9E">
            <w:pPr>
              <w:pStyle w:val="TableHeading"/>
              <w:cnfStyle w:val="100000000000" w:firstRow="1" w:lastRow="0" w:firstColumn="0" w:lastColumn="0" w:oddVBand="0" w:evenVBand="0" w:oddHBand="0" w:evenHBand="0" w:firstRowFirstColumn="0" w:firstRowLastColumn="0" w:lastRowFirstColumn="0" w:lastRowLastColumn="0"/>
            </w:pPr>
            <w:r>
              <w:t>Year</w:t>
            </w:r>
          </w:p>
        </w:tc>
      </w:tr>
      <w:tr w:rsidR="00261D9E" w14:paraId="7A265812" w14:textId="77777777" w:rsidTr="00261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Align w:val="center"/>
          </w:tcPr>
          <w:p w14:paraId="6E1348F8" w14:textId="77777777" w:rsidR="00261D9E" w:rsidRPr="008E45D1" w:rsidRDefault="00261D9E" w:rsidP="00261D9E">
            <w:pPr>
              <w:pStyle w:val="TableText"/>
              <w:rPr>
                <w:rFonts w:cs="Arial"/>
                <w:b w:val="0"/>
                <w:bCs/>
              </w:rPr>
            </w:pPr>
            <w:r w:rsidRPr="008E45D1">
              <w:rPr>
                <w:rFonts w:cs="Arial"/>
                <w:b w:val="0"/>
                <w:bCs/>
                <w:color w:val="000000"/>
              </w:rPr>
              <w:t xml:space="preserve">Mining </w:t>
            </w:r>
            <w:r>
              <w:rPr>
                <w:rFonts w:cs="Arial"/>
                <w:b w:val="0"/>
                <w:bCs/>
                <w:color w:val="000000"/>
              </w:rPr>
              <w:t>J</w:t>
            </w:r>
            <w:r w:rsidRPr="008E45D1">
              <w:rPr>
                <w:rFonts w:cs="Arial"/>
                <w:b w:val="0"/>
                <w:bCs/>
                <w:color w:val="000000"/>
              </w:rPr>
              <w:t xml:space="preserve">ob </w:t>
            </w:r>
            <w:r>
              <w:rPr>
                <w:rFonts w:cs="Arial"/>
                <w:b w:val="0"/>
                <w:bCs/>
                <w:color w:val="000000"/>
              </w:rPr>
              <w:t>S</w:t>
            </w:r>
            <w:r w:rsidRPr="008E45D1">
              <w:rPr>
                <w:rFonts w:cs="Arial"/>
                <w:b w:val="0"/>
                <w:bCs/>
                <w:color w:val="000000"/>
              </w:rPr>
              <w:t xml:space="preserve">ecurity </w:t>
            </w:r>
            <w:r>
              <w:rPr>
                <w:rFonts w:cs="Arial"/>
                <w:b w:val="0"/>
                <w:bCs/>
                <w:color w:val="000000"/>
              </w:rPr>
              <w:t>F</w:t>
            </w:r>
            <w:r w:rsidRPr="008E45D1">
              <w:rPr>
                <w:rFonts w:cs="Arial"/>
                <w:b w:val="0"/>
                <w:bCs/>
                <w:color w:val="000000"/>
              </w:rPr>
              <w:t xml:space="preserve">ront of </w:t>
            </w:r>
            <w:r>
              <w:rPr>
                <w:rFonts w:cs="Arial"/>
                <w:b w:val="0"/>
                <w:bCs/>
                <w:color w:val="000000"/>
              </w:rPr>
              <w:t>M</w:t>
            </w:r>
            <w:r w:rsidRPr="008E45D1">
              <w:rPr>
                <w:rFonts w:cs="Arial"/>
                <w:b w:val="0"/>
                <w:bCs/>
                <w:color w:val="000000"/>
              </w:rPr>
              <w:t xml:space="preserve">ind for Braddon </w:t>
            </w:r>
            <w:r>
              <w:rPr>
                <w:rFonts w:cs="Arial"/>
                <w:b w:val="0"/>
                <w:bCs/>
                <w:color w:val="000000"/>
              </w:rPr>
              <w:t>V</w:t>
            </w:r>
            <w:r w:rsidRPr="008E45D1">
              <w:rPr>
                <w:rFonts w:cs="Arial"/>
                <w:b w:val="0"/>
                <w:bCs/>
                <w:color w:val="000000"/>
              </w:rPr>
              <w:t xml:space="preserve">oters this </w:t>
            </w:r>
            <w:r>
              <w:rPr>
                <w:rFonts w:cs="Arial"/>
                <w:b w:val="0"/>
                <w:bCs/>
                <w:color w:val="000000"/>
              </w:rPr>
              <w:t>F</w:t>
            </w:r>
            <w:r w:rsidRPr="008E45D1">
              <w:rPr>
                <w:rFonts w:cs="Arial"/>
                <w:b w:val="0"/>
                <w:bCs/>
                <w:color w:val="000000"/>
              </w:rPr>
              <w:t xml:space="preserve">ederal </w:t>
            </w:r>
            <w:r>
              <w:rPr>
                <w:rFonts w:cs="Arial"/>
                <w:b w:val="0"/>
                <w:bCs/>
                <w:color w:val="000000"/>
              </w:rPr>
              <w:t>E</w:t>
            </w:r>
            <w:r w:rsidRPr="008E45D1">
              <w:rPr>
                <w:rFonts w:cs="Arial"/>
                <w:b w:val="0"/>
                <w:bCs/>
                <w:color w:val="000000"/>
              </w:rPr>
              <w:t>lection</w:t>
            </w:r>
          </w:p>
        </w:tc>
        <w:tc>
          <w:tcPr>
            <w:tcW w:w="3544" w:type="dxa"/>
            <w:vAlign w:val="center"/>
          </w:tcPr>
          <w:p w14:paraId="74E352AB" w14:textId="77777777" w:rsidR="00261D9E" w:rsidRPr="008E45D1" w:rsidRDefault="00261D9E" w:rsidP="00261D9E">
            <w:pPr>
              <w:pStyle w:val="TableText"/>
              <w:cnfStyle w:val="000000100000" w:firstRow="0" w:lastRow="0" w:firstColumn="0" w:lastColumn="0" w:oddVBand="0" w:evenVBand="0" w:oddHBand="1" w:evenHBand="0" w:firstRowFirstColumn="0" w:firstRowLastColumn="0" w:lastRowFirstColumn="0" w:lastRowLastColumn="0"/>
              <w:rPr>
                <w:rFonts w:cs="Arial"/>
              </w:rPr>
            </w:pPr>
            <w:r w:rsidRPr="008E45D1">
              <w:rPr>
                <w:rFonts w:cs="Arial"/>
                <w:color w:val="000000"/>
              </w:rPr>
              <w:t>ABC NEWS</w:t>
            </w:r>
          </w:p>
        </w:tc>
        <w:tc>
          <w:tcPr>
            <w:tcW w:w="1262" w:type="dxa"/>
            <w:vAlign w:val="center"/>
          </w:tcPr>
          <w:p w14:paraId="4FE75EA2" w14:textId="77777777" w:rsidR="00261D9E" w:rsidRPr="008E45D1" w:rsidRDefault="00261D9E" w:rsidP="00261D9E">
            <w:pPr>
              <w:pStyle w:val="TableText"/>
              <w:cnfStyle w:val="000000100000" w:firstRow="0" w:lastRow="0" w:firstColumn="0" w:lastColumn="0" w:oddVBand="0" w:evenVBand="0" w:oddHBand="1" w:evenHBand="0" w:firstRowFirstColumn="0" w:firstRowLastColumn="0" w:lastRowFirstColumn="0" w:lastRowLastColumn="0"/>
              <w:rPr>
                <w:rFonts w:cs="Arial"/>
              </w:rPr>
            </w:pPr>
            <w:r w:rsidRPr="008E45D1">
              <w:rPr>
                <w:rFonts w:cs="Arial"/>
                <w:color w:val="000000"/>
              </w:rPr>
              <w:t>2019</w:t>
            </w:r>
          </w:p>
        </w:tc>
      </w:tr>
      <w:tr w:rsidR="00261D9E" w14:paraId="64F53D97" w14:textId="77777777" w:rsidTr="00261D9E">
        <w:tc>
          <w:tcPr>
            <w:cnfStyle w:val="001000000000" w:firstRow="0" w:lastRow="0" w:firstColumn="1" w:lastColumn="0" w:oddVBand="0" w:evenVBand="0" w:oddHBand="0" w:evenHBand="0" w:firstRowFirstColumn="0" w:firstRowLastColumn="0" w:lastRowFirstColumn="0" w:lastRowLastColumn="0"/>
            <w:tcW w:w="4815" w:type="dxa"/>
            <w:vAlign w:val="center"/>
          </w:tcPr>
          <w:p w14:paraId="2C0DA7F8" w14:textId="77777777" w:rsidR="00261D9E" w:rsidRPr="008E45D1" w:rsidRDefault="00261D9E" w:rsidP="00261D9E">
            <w:pPr>
              <w:pStyle w:val="TableText"/>
              <w:rPr>
                <w:rFonts w:cs="Arial"/>
                <w:b w:val="0"/>
                <w:bCs/>
              </w:rPr>
            </w:pPr>
            <w:r w:rsidRPr="008E45D1">
              <w:rPr>
                <w:rFonts w:cs="Arial"/>
                <w:b w:val="0"/>
                <w:bCs/>
                <w:color w:val="000000"/>
              </w:rPr>
              <w:t xml:space="preserve">Mount Lyell </w:t>
            </w:r>
            <w:r>
              <w:rPr>
                <w:rFonts w:cs="Arial"/>
                <w:b w:val="0"/>
                <w:bCs/>
                <w:color w:val="000000"/>
              </w:rPr>
              <w:t>C</w:t>
            </w:r>
            <w:r w:rsidRPr="008E45D1">
              <w:rPr>
                <w:rFonts w:cs="Arial"/>
                <w:b w:val="0"/>
                <w:bCs/>
                <w:color w:val="000000"/>
              </w:rPr>
              <w:t xml:space="preserve">opper </w:t>
            </w:r>
            <w:r>
              <w:rPr>
                <w:rFonts w:cs="Arial"/>
                <w:b w:val="0"/>
                <w:bCs/>
                <w:color w:val="000000"/>
              </w:rPr>
              <w:t>M</w:t>
            </w:r>
            <w:r w:rsidRPr="008E45D1">
              <w:rPr>
                <w:rFonts w:cs="Arial"/>
                <w:b w:val="0"/>
                <w:bCs/>
                <w:color w:val="000000"/>
              </w:rPr>
              <w:t xml:space="preserve">ine </w:t>
            </w:r>
            <w:r>
              <w:rPr>
                <w:rFonts w:cs="Arial"/>
                <w:b w:val="0"/>
                <w:bCs/>
                <w:color w:val="000000"/>
              </w:rPr>
              <w:t>R</w:t>
            </w:r>
            <w:r w:rsidRPr="008E45D1">
              <w:rPr>
                <w:rFonts w:cs="Arial"/>
                <w:b w:val="0"/>
                <w:bCs/>
                <w:color w:val="000000"/>
              </w:rPr>
              <w:t xml:space="preserve">estart </w:t>
            </w:r>
            <w:r>
              <w:rPr>
                <w:rFonts w:cs="Arial"/>
                <w:b w:val="0"/>
                <w:bCs/>
                <w:color w:val="000000"/>
              </w:rPr>
              <w:t>M</w:t>
            </w:r>
            <w:r w:rsidRPr="008E45D1">
              <w:rPr>
                <w:rFonts w:cs="Arial"/>
                <w:b w:val="0"/>
                <w:bCs/>
                <w:color w:val="000000"/>
              </w:rPr>
              <w:t xml:space="preserve">oves </w:t>
            </w:r>
            <w:r>
              <w:rPr>
                <w:rFonts w:cs="Arial"/>
                <w:b w:val="0"/>
                <w:bCs/>
                <w:color w:val="000000"/>
              </w:rPr>
              <w:t>C</w:t>
            </w:r>
            <w:r w:rsidRPr="008E45D1">
              <w:rPr>
                <w:rFonts w:cs="Arial"/>
                <w:b w:val="0"/>
                <w:bCs/>
                <w:color w:val="000000"/>
              </w:rPr>
              <w:t xml:space="preserve">loser </w:t>
            </w:r>
            <w:r>
              <w:rPr>
                <w:rFonts w:cs="Arial"/>
                <w:b w:val="0"/>
                <w:bCs/>
                <w:color w:val="000000"/>
              </w:rPr>
              <w:t>A</w:t>
            </w:r>
            <w:r w:rsidRPr="008E45D1">
              <w:rPr>
                <w:rFonts w:cs="Arial"/>
                <w:b w:val="0"/>
                <w:bCs/>
                <w:color w:val="000000"/>
              </w:rPr>
              <w:t xml:space="preserve">fter $9 </w:t>
            </w:r>
            <w:r>
              <w:rPr>
                <w:rFonts w:cs="Arial"/>
                <w:b w:val="0"/>
                <w:bCs/>
                <w:color w:val="000000"/>
              </w:rPr>
              <w:t>M</w:t>
            </w:r>
            <w:r w:rsidRPr="008E45D1">
              <w:rPr>
                <w:rFonts w:cs="Arial"/>
                <w:b w:val="0"/>
                <w:bCs/>
                <w:color w:val="000000"/>
              </w:rPr>
              <w:t xml:space="preserve">illion </w:t>
            </w:r>
            <w:r>
              <w:rPr>
                <w:rFonts w:cs="Arial"/>
                <w:b w:val="0"/>
                <w:bCs/>
                <w:color w:val="000000"/>
              </w:rPr>
              <w:t>C</w:t>
            </w:r>
            <w:r w:rsidRPr="008E45D1">
              <w:rPr>
                <w:rFonts w:cs="Arial"/>
                <w:b w:val="0"/>
                <w:bCs/>
                <w:color w:val="000000"/>
              </w:rPr>
              <w:t xml:space="preserve">ash </w:t>
            </w:r>
            <w:r>
              <w:rPr>
                <w:rFonts w:cs="Arial"/>
                <w:b w:val="0"/>
                <w:bCs/>
                <w:color w:val="000000"/>
              </w:rPr>
              <w:t>I</w:t>
            </w:r>
            <w:r w:rsidRPr="008E45D1">
              <w:rPr>
                <w:rFonts w:cs="Arial"/>
                <w:b w:val="0"/>
                <w:bCs/>
                <w:color w:val="000000"/>
              </w:rPr>
              <w:t>njection</w:t>
            </w:r>
          </w:p>
        </w:tc>
        <w:tc>
          <w:tcPr>
            <w:tcW w:w="3544" w:type="dxa"/>
            <w:vAlign w:val="center"/>
          </w:tcPr>
          <w:p w14:paraId="22F1B1A2" w14:textId="77777777" w:rsidR="00261D9E" w:rsidRPr="008E45D1" w:rsidRDefault="00261D9E" w:rsidP="00261D9E">
            <w:pPr>
              <w:pStyle w:val="TableText"/>
              <w:cnfStyle w:val="000000000000" w:firstRow="0" w:lastRow="0" w:firstColumn="0" w:lastColumn="0" w:oddVBand="0" w:evenVBand="0" w:oddHBand="0" w:evenHBand="0" w:firstRowFirstColumn="0" w:firstRowLastColumn="0" w:lastRowFirstColumn="0" w:lastRowLastColumn="0"/>
              <w:rPr>
                <w:rFonts w:cs="Arial"/>
              </w:rPr>
            </w:pPr>
            <w:r w:rsidRPr="008E45D1">
              <w:rPr>
                <w:rFonts w:cs="Arial"/>
                <w:color w:val="000000"/>
              </w:rPr>
              <w:t>ABC NEWS</w:t>
            </w:r>
          </w:p>
        </w:tc>
        <w:tc>
          <w:tcPr>
            <w:tcW w:w="1262" w:type="dxa"/>
            <w:vAlign w:val="center"/>
          </w:tcPr>
          <w:p w14:paraId="2D3853D8" w14:textId="77777777" w:rsidR="00261D9E" w:rsidRPr="008E45D1" w:rsidRDefault="00261D9E" w:rsidP="00261D9E">
            <w:pPr>
              <w:pStyle w:val="TableText"/>
              <w:cnfStyle w:val="000000000000" w:firstRow="0" w:lastRow="0" w:firstColumn="0" w:lastColumn="0" w:oddVBand="0" w:evenVBand="0" w:oddHBand="0" w:evenHBand="0" w:firstRowFirstColumn="0" w:firstRowLastColumn="0" w:lastRowFirstColumn="0" w:lastRowLastColumn="0"/>
              <w:rPr>
                <w:rFonts w:cs="Arial"/>
              </w:rPr>
            </w:pPr>
            <w:r w:rsidRPr="008E45D1">
              <w:rPr>
                <w:rFonts w:cs="Arial"/>
                <w:color w:val="000000"/>
              </w:rPr>
              <w:t>2017</w:t>
            </w:r>
          </w:p>
        </w:tc>
      </w:tr>
      <w:tr w:rsidR="00261D9E" w14:paraId="18A55326" w14:textId="77777777" w:rsidTr="00261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Align w:val="center"/>
          </w:tcPr>
          <w:p w14:paraId="2F48A592" w14:textId="77777777" w:rsidR="00261D9E" w:rsidRPr="008E45D1" w:rsidRDefault="00261D9E" w:rsidP="00261D9E">
            <w:pPr>
              <w:pStyle w:val="TableText"/>
              <w:rPr>
                <w:rFonts w:cs="Arial"/>
                <w:b w:val="0"/>
                <w:bCs/>
              </w:rPr>
            </w:pPr>
            <w:r w:rsidRPr="008E45D1">
              <w:rPr>
                <w:rFonts w:cs="Arial"/>
                <w:b w:val="0"/>
                <w:bCs/>
                <w:color w:val="000000"/>
              </w:rPr>
              <w:t xml:space="preserve">Tasmania's Avebury </w:t>
            </w:r>
            <w:r>
              <w:rPr>
                <w:rFonts w:cs="Arial"/>
                <w:b w:val="0"/>
                <w:bCs/>
                <w:color w:val="000000"/>
              </w:rPr>
              <w:t>M</w:t>
            </w:r>
            <w:r w:rsidRPr="008E45D1">
              <w:rPr>
                <w:rFonts w:cs="Arial"/>
                <w:b w:val="0"/>
                <w:bCs/>
                <w:color w:val="000000"/>
              </w:rPr>
              <w:t xml:space="preserve">ine to </w:t>
            </w:r>
            <w:r>
              <w:rPr>
                <w:rFonts w:cs="Arial"/>
                <w:b w:val="0"/>
                <w:bCs/>
                <w:color w:val="000000"/>
              </w:rPr>
              <w:t>S</w:t>
            </w:r>
            <w:r w:rsidRPr="008E45D1">
              <w:rPr>
                <w:rFonts w:cs="Arial"/>
                <w:b w:val="0"/>
                <w:bCs/>
                <w:color w:val="000000"/>
              </w:rPr>
              <w:t xml:space="preserve">tay </w:t>
            </w:r>
            <w:r>
              <w:rPr>
                <w:rFonts w:cs="Arial"/>
                <w:b w:val="0"/>
                <w:bCs/>
                <w:color w:val="000000"/>
              </w:rPr>
              <w:t>C</w:t>
            </w:r>
            <w:r w:rsidRPr="008E45D1">
              <w:rPr>
                <w:rFonts w:cs="Arial"/>
                <w:b w:val="0"/>
                <w:bCs/>
                <w:color w:val="000000"/>
              </w:rPr>
              <w:t xml:space="preserve">losed </w:t>
            </w:r>
            <w:r>
              <w:rPr>
                <w:rFonts w:cs="Arial"/>
                <w:b w:val="0"/>
                <w:bCs/>
                <w:color w:val="000000"/>
              </w:rPr>
              <w:t>A</w:t>
            </w:r>
            <w:r w:rsidRPr="008E45D1">
              <w:rPr>
                <w:rFonts w:cs="Arial"/>
                <w:b w:val="0"/>
                <w:bCs/>
                <w:color w:val="000000"/>
              </w:rPr>
              <w:t xml:space="preserve">mid </w:t>
            </w:r>
            <w:r>
              <w:rPr>
                <w:rFonts w:cs="Arial"/>
                <w:b w:val="0"/>
                <w:bCs/>
                <w:color w:val="000000"/>
              </w:rPr>
              <w:t>C</w:t>
            </w:r>
            <w:r w:rsidRPr="008E45D1">
              <w:rPr>
                <w:rFonts w:cs="Arial"/>
                <w:b w:val="0"/>
                <w:bCs/>
                <w:color w:val="000000"/>
              </w:rPr>
              <w:t xml:space="preserve">laims It </w:t>
            </w:r>
            <w:r>
              <w:rPr>
                <w:rFonts w:cs="Arial"/>
                <w:b w:val="0"/>
                <w:bCs/>
                <w:color w:val="000000"/>
              </w:rPr>
              <w:t>O</w:t>
            </w:r>
            <w:r w:rsidRPr="008E45D1">
              <w:rPr>
                <w:rFonts w:cs="Arial"/>
                <w:b w:val="0"/>
                <w:bCs/>
                <w:color w:val="000000"/>
              </w:rPr>
              <w:t xml:space="preserve">wes $1 </w:t>
            </w:r>
            <w:r>
              <w:rPr>
                <w:rFonts w:cs="Arial"/>
                <w:b w:val="0"/>
                <w:bCs/>
                <w:color w:val="000000"/>
              </w:rPr>
              <w:t>M</w:t>
            </w:r>
            <w:r w:rsidRPr="008E45D1">
              <w:rPr>
                <w:rFonts w:cs="Arial"/>
                <w:b w:val="0"/>
                <w:bCs/>
                <w:color w:val="000000"/>
              </w:rPr>
              <w:t xml:space="preserve">illion in </w:t>
            </w:r>
            <w:r>
              <w:rPr>
                <w:rFonts w:cs="Arial"/>
                <w:b w:val="0"/>
                <w:bCs/>
                <w:color w:val="000000"/>
              </w:rPr>
              <w:t>R</w:t>
            </w:r>
            <w:r w:rsidRPr="008E45D1">
              <w:rPr>
                <w:rFonts w:cs="Arial"/>
                <w:b w:val="0"/>
                <w:bCs/>
                <w:color w:val="000000"/>
              </w:rPr>
              <w:t>ates</w:t>
            </w:r>
          </w:p>
        </w:tc>
        <w:tc>
          <w:tcPr>
            <w:tcW w:w="3544" w:type="dxa"/>
            <w:vAlign w:val="center"/>
          </w:tcPr>
          <w:p w14:paraId="1104921B" w14:textId="77777777" w:rsidR="00261D9E" w:rsidRPr="008E45D1" w:rsidRDefault="00261D9E" w:rsidP="00261D9E">
            <w:pPr>
              <w:pStyle w:val="TableText"/>
              <w:cnfStyle w:val="000000100000" w:firstRow="0" w:lastRow="0" w:firstColumn="0" w:lastColumn="0" w:oddVBand="0" w:evenVBand="0" w:oddHBand="1" w:evenHBand="0" w:firstRowFirstColumn="0" w:firstRowLastColumn="0" w:lastRowFirstColumn="0" w:lastRowLastColumn="0"/>
              <w:rPr>
                <w:rFonts w:cs="Arial"/>
              </w:rPr>
            </w:pPr>
            <w:r w:rsidRPr="008E45D1">
              <w:rPr>
                <w:rFonts w:cs="Arial"/>
                <w:color w:val="000000"/>
              </w:rPr>
              <w:t>ABC NEWS</w:t>
            </w:r>
          </w:p>
        </w:tc>
        <w:tc>
          <w:tcPr>
            <w:tcW w:w="1262" w:type="dxa"/>
            <w:vAlign w:val="center"/>
          </w:tcPr>
          <w:p w14:paraId="7765D4E5" w14:textId="77777777" w:rsidR="00261D9E" w:rsidRPr="008E45D1" w:rsidRDefault="00261D9E" w:rsidP="00261D9E">
            <w:pPr>
              <w:pStyle w:val="TableText"/>
              <w:cnfStyle w:val="000000100000" w:firstRow="0" w:lastRow="0" w:firstColumn="0" w:lastColumn="0" w:oddVBand="0" w:evenVBand="0" w:oddHBand="1" w:evenHBand="0" w:firstRowFirstColumn="0" w:firstRowLastColumn="0" w:lastRowFirstColumn="0" w:lastRowLastColumn="0"/>
              <w:rPr>
                <w:rFonts w:cs="Arial"/>
              </w:rPr>
            </w:pPr>
            <w:r w:rsidRPr="008E45D1">
              <w:rPr>
                <w:rFonts w:cs="Arial"/>
                <w:color w:val="000000"/>
              </w:rPr>
              <w:t>2019</w:t>
            </w:r>
          </w:p>
        </w:tc>
      </w:tr>
      <w:tr w:rsidR="00261D9E" w14:paraId="583DBC4A" w14:textId="77777777" w:rsidTr="00261D9E">
        <w:tc>
          <w:tcPr>
            <w:cnfStyle w:val="001000000000" w:firstRow="0" w:lastRow="0" w:firstColumn="1" w:lastColumn="0" w:oddVBand="0" w:evenVBand="0" w:oddHBand="0" w:evenHBand="0" w:firstRowFirstColumn="0" w:firstRowLastColumn="0" w:lastRowFirstColumn="0" w:lastRowLastColumn="0"/>
            <w:tcW w:w="4815" w:type="dxa"/>
            <w:vAlign w:val="center"/>
          </w:tcPr>
          <w:p w14:paraId="19739952" w14:textId="77777777" w:rsidR="00261D9E" w:rsidRPr="008E45D1" w:rsidRDefault="00261D9E" w:rsidP="00261D9E">
            <w:pPr>
              <w:pStyle w:val="TableText"/>
              <w:rPr>
                <w:rFonts w:cs="Arial"/>
                <w:b w:val="0"/>
                <w:bCs/>
              </w:rPr>
            </w:pPr>
            <w:r w:rsidRPr="008E45D1">
              <w:rPr>
                <w:rFonts w:cs="Arial"/>
                <w:b w:val="0"/>
                <w:bCs/>
                <w:color w:val="000000"/>
              </w:rPr>
              <w:t xml:space="preserve">Tasmania's </w:t>
            </w:r>
            <w:r>
              <w:rPr>
                <w:rFonts w:cs="Arial"/>
                <w:b w:val="0"/>
                <w:bCs/>
                <w:color w:val="000000"/>
              </w:rPr>
              <w:t>M</w:t>
            </w:r>
            <w:r w:rsidRPr="008E45D1">
              <w:rPr>
                <w:rFonts w:cs="Arial"/>
                <w:b w:val="0"/>
                <w:bCs/>
                <w:color w:val="000000"/>
              </w:rPr>
              <w:t xml:space="preserve">ining </w:t>
            </w:r>
            <w:r>
              <w:rPr>
                <w:rFonts w:cs="Arial"/>
                <w:b w:val="0"/>
                <w:bCs/>
                <w:color w:val="000000"/>
              </w:rPr>
              <w:t>I</w:t>
            </w:r>
            <w:r w:rsidRPr="008E45D1">
              <w:rPr>
                <w:rFonts w:cs="Arial"/>
                <w:b w:val="0"/>
                <w:bCs/>
                <w:color w:val="000000"/>
              </w:rPr>
              <w:t xml:space="preserve">ndustry </w:t>
            </w:r>
            <w:r>
              <w:rPr>
                <w:rFonts w:cs="Arial"/>
                <w:b w:val="0"/>
                <w:bCs/>
                <w:color w:val="000000"/>
              </w:rPr>
              <w:t>C</w:t>
            </w:r>
            <w:r w:rsidRPr="008E45D1">
              <w:rPr>
                <w:rFonts w:cs="Arial"/>
                <w:b w:val="0"/>
                <w:bCs/>
                <w:color w:val="000000"/>
              </w:rPr>
              <w:t>ould be</w:t>
            </w:r>
            <w:r>
              <w:rPr>
                <w:rFonts w:cs="Arial"/>
                <w:b w:val="0"/>
                <w:bCs/>
                <w:color w:val="000000"/>
              </w:rPr>
              <w:t xml:space="preserve"> Dead</w:t>
            </w:r>
            <w:r w:rsidRPr="008E45D1">
              <w:rPr>
                <w:rFonts w:cs="Arial"/>
                <w:b w:val="0"/>
                <w:bCs/>
                <w:color w:val="000000"/>
              </w:rPr>
              <w:t xml:space="preserve"> </w:t>
            </w:r>
            <w:r>
              <w:rPr>
                <w:rFonts w:cs="Arial"/>
                <w:b w:val="0"/>
                <w:bCs/>
                <w:color w:val="000000"/>
              </w:rPr>
              <w:t>W</w:t>
            </w:r>
            <w:r w:rsidRPr="008E45D1">
              <w:rPr>
                <w:rFonts w:cs="Arial"/>
                <w:b w:val="0"/>
                <w:bCs/>
                <w:color w:val="000000"/>
              </w:rPr>
              <w:t xml:space="preserve">ithin a </w:t>
            </w:r>
            <w:r>
              <w:rPr>
                <w:rFonts w:cs="Arial"/>
                <w:b w:val="0"/>
                <w:bCs/>
                <w:color w:val="000000"/>
              </w:rPr>
              <w:t>De</w:t>
            </w:r>
            <w:r w:rsidRPr="008E45D1">
              <w:rPr>
                <w:rFonts w:cs="Arial"/>
                <w:b w:val="0"/>
                <w:bCs/>
                <w:color w:val="000000"/>
              </w:rPr>
              <w:t xml:space="preserve">cade, </w:t>
            </w:r>
            <w:r>
              <w:rPr>
                <w:rFonts w:cs="Arial"/>
                <w:b w:val="0"/>
                <w:bCs/>
                <w:color w:val="000000"/>
              </w:rPr>
              <w:t>G</w:t>
            </w:r>
            <w:r w:rsidRPr="008E45D1">
              <w:rPr>
                <w:rFonts w:cs="Arial"/>
                <w:b w:val="0"/>
                <w:bCs/>
                <w:color w:val="000000"/>
              </w:rPr>
              <w:t xml:space="preserve">eologist </w:t>
            </w:r>
            <w:r>
              <w:rPr>
                <w:rFonts w:cs="Arial"/>
                <w:b w:val="0"/>
                <w:bCs/>
                <w:color w:val="000000"/>
              </w:rPr>
              <w:t>W</w:t>
            </w:r>
            <w:r w:rsidRPr="008E45D1">
              <w:rPr>
                <w:rFonts w:cs="Arial"/>
                <w:b w:val="0"/>
                <w:bCs/>
                <w:color w:val="000000"/>
              </w:rPr>
              <w:t>arns</w:t>
            </w:r>
          </w:p>
        </w:tc>
        <w:tc>
          <w:tcPr>
            <w:tcW w:w="3544" w:type="dxa"/>
            <w:vAlign w:val="center"/>
          </w:tcPr>
          <w:p w14:paraId="02CDA154" w14:textId="77777777" w:rsidR="00261D9E" w:rsidRPr="008E45D1" w:rsidRDefault="00261D9E" w:rsidP="00261D9E">
            <w:pPr>
              <w:pStyle w:val="TableText"/>
              <w:cnfStyle w:val="000000000000" w:firstRow="0" w:lastRow="0" w:firstColumn="0" w:lastColumn="0" w:oddVBand="0" w:evenVBand="0" w:oddHBand="0" w:evenHBand="0" w:firstRowFirstColumn="0" w:firstRowLastColumn="0" w:lastRowFirstColumn="0" w:lastRowLastColumn="0"/>
              <w:rPr>
                <w:rFonts w:cs="Arial"/>
              </w:rPr>
            </w:pPr>
            <w:r w:rsidRPr="008E45D1">
              <w:rPr>
                <w:rFonts w:cs="Arial"/>
                <w:color w:val="000000"/>
              </w:rPr>
              <w:t>ABC NEWS</w:t>
            </w:r>
          </w:p>
        </w:tc>
        <w:tc>
          <w:tcPr>
            <w:tcW w:w="1262" w:type="dxa"/>
            <w:vAlign w:val="center"/>
          </w:tcPr>
          <w:p w14:paraId="25B2D262" w14:textId="77777777" w:rsidR="00261D9E" w:rsidRPr="008E45D1" w:rsidRDefault="00261D9E" w:rsidP="00261D9E">
            <w:pPr>
              <w:pStyle w:val="TableText"/>
              <w:cnfStyle w:val="000000000000" w:firstRow="0" w:lastRow="0" w:firstColumn="0" w:lastColumn="0" w:oddVBand="0" w:evenVBand="0" w:oddHBand="0" w:evenHBand="0" w:firstRowFirstColumn="0" w:firstRowLastColumn="0" w:lastRowFirstColumn="0" w:lastRowLastColumn="0"/>
              <w:rPr>
                <w:rFonts w:cs="Arial"/>
              </w:rPr>
            </w:pPr>
            <w:r w:rsidRPr="008E45D1">
              <w:rPr>
                <w:rFonts w:cs="Arial"/>
                <w:color w:val="000000"/>
              </w:rPr>
              <w:t>2017</w:t>
            </w:r>
          </w:p>
        </w:tc>
      </w:tr>
      <w:tr w:rsidR="00261D9E" w14:paraId="3DE09E2F" w14:textId="77777777" w:rsidTr="00261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Align w:val="center"/>
          </w:tcPr>
          <w:p w14:paraId="536D46B0" w14:textId="77777777" w:rsidR="00261D9E" w:rsidRPr="008E45D1" w:rsidRDefault="00261D9E" w:rsidP="00261D9E">
            <w:pPr>
              <w:pStyle w:val="TableText"/>
              <w:rPr>
                <w:rFonts w:cs="Arial"/>
                <w:b w:val="0"/>
                <w:bCs/>
              </w:rPr>
            </w:pPr>
            <w:r w:rsidRPr="008E45D1">
              <w:rPr>
                <w:rFonts w:cs="Arial"/>
                <w:b w:val="0"/>
                <w:bCs/>
                <w:color w:val="000000"/>
              </w:rPr>
              <w:t xml:space="preserve">Women in </w:t>
            </w:r>
            <w:r>
              <w:rPr>
                <w:rFonts w:cs="Arial"/>
                <w:b w:val="0"/>
                <w:bCs/>
                <w:color w:val="000000"/>
              </w:rPr>
              <w:t>M</w:t>
            </w:r>
            <w:r w:rsidRPr="008E45D1">
              <w:rPr>
                <w:rFonts w:cs="Arial"/>
                <w:b w:val="0"/>
                <w:bCs/>
                <w:color w:val="000000"/>
              </w:rPr>
              <w:t xml:space="preserve">ining: Dig the </w:t>
            </w:r>
            <w:r>
              <w:rPr>
                <w:rFonts w:cs="Arial"/>
                <w:b w:val="0"/>
                <w:bCs/>
                <w:color w:val="000000"/>
              </w:rPr>
              <w:t>C</w:t>
            </w:r>
            <w:r w:rsidRPr="008E45D1">
              <w:rPr>
                <w:rFonts w:cs="Arial"/>
                <w:b w:val="0"/>
                <w:bCs/>
                <w:color w:val="000000"/>
              </w:rPr>
              <w:t xml:space="preserve">hanging </w:t>
            </w:r>
            <w:r>
              <w:rPr>
                <w:rFonts w:cs="Arial"/>
                <w:b w:val="0"/>
                <w:bCs/>
                <w:color w:val="000000"/>
              </w:rPr>
              <w:t>F</w:t>
            </w:r>
            <w:r w:rsidRPr="008E45D1">
              <w:rPr>
                <w:rFonts w:cs="Arial"/>
                <w:b w:val="0"/>
                <w:bCs/>
                <w:color w:val="000000"/>
              </w:rPr>
              <w:t xml:space="preserve">ace of Australia's </w:t>
            </w:r>
            <w:r>
              <w:rPr>
                <w:rFonts w:cs="Arial"/>
                <w:b w:val="0"/>
                <w:bCs/>
                <w:color w:val="000000"/>
              </w:rPr>
              <w:t>M</w:t>
            </w:r>
            <w:r w:rsidRPr="008E45D1">
              <w:rPr>
                <w:rFonts w:cs="Arial"/>
                <w:b w:val="0"/>
                <w:bCs/>
                <w:color w:val="000000"/>
              </w:rPr>
              <w:t xml:space="preserve">ining </w:t>
            </w:r>
            <w:r>
              <w:rPr>
                <w:rFonts w:cs="Arial"/>
                <w:b w:val="0"/>
                <w:bCs/>
                <w:color w:val="000000"/>
              </w:rPr>
              <w:t>I</w:t>
            </w:r>
            <w:r w:rsidRPr="008E45D1">
              <w:rPr>
                <w:rFonts w:cs="Arial"/>
                <w:b w:val="0"/>
                <w:bCs/>
                <w:color w:val="000000"/>
              </w:rPr>
              <w:t>ndustry</w:t>
            </w:r>
          </w:p>
        </w:tc>
        <w:tc>
          <w:tcPr>
            <w:tcW w:w="3544" w:type="dxa"/>
            <w:vAlign w:val="center"/>
          </w:tcPr>
          <w:p w14:paraId="223DA5AE" w14:textId="77777777" w:rsidR="00261D9E" w:rsidRPr="008E45D1" w:rsidRDefault="00261D9E" w:rsidP="00261D9E">
            <w:pPr>
              <w:pStyle w:val="TableText"/>
              <w:cnfStyle w:val="000000100000" w:firstRow="0" w:lastRow="0" w:firstColumn="0" w:lastColumn="0" w:oddVBand="0" w:evenVBand="0" w:oddHBand="1" w:evenHBand="0" w:firstRowFirstColumn="0" w:firstRowLastColumn="0" w:lastRowFirstColumn="0" w:lastRowLastColumn="0"/>
              <w:rPr>
                <w:rFonts w:cs="Arial"/>
              </w:rPr>
            </w:pPr>
            <w:r w:rsidRPr="008E45D1">
              <w:rPr>
                <w:rFonts w:cs="Arial"/>
                <w:color w:val="000000"/>
              </w:rPr>
              <w:t>ABC NEWS</w:t>
            </w:r>
          </w:p>
        </w:tc>
        <w:tc>
          <w:tcPr>
            <w:tcW w:w="1262" w:type="dxa"/>
            <w:vAlign w:val="center"/>
          </w:tcPr>
          <w:p w14:paraId="3209D296" w14:textId="77777777" w:rsidR="00261D9E" w:rsidRPr="008E45D1" w:rsidRDefault="00261D9E" w:rsidP="00261D9E">
            <w:pPr>
              <w:pStyle w:val="TableText"/>
              <w:cnfStyle w:val="000000100000" w:firstRow="0" w:lastRow="0" w:firstColumn="0" w:lastColumn="0" w:oddVBand="0" w:evenVBand="0" w:oddHBand="1" w:evenHBand="0" w:firstRowFirstColumn="0" w:firstRowLastColumn="0" w:lastRowFirstColumn="0" w:lastRowLastColumn="0"/>
              <w:rPr>
                <w:rFonts w:cs="Arial"/>
              </w:rPr>
            </w:pPr>
            <w:r w:rsidRPr="008E45D1">
              <w:rPr>
                <w:rFonts w:cs="Arial"/>
                <w:color w:val="000000"/>
              </w:rPr>
              <w:t>2018</w:t>
            </w:r>
          </w:p>
        </w:tc>
      </w:tr>
      <w:tr w:rsidR="00261D9E" w14:paraId="644AF639" w14:textId="77777777" w:rsidTr="00261D9E">
        <w:tc>
          <w:tcPr>
            <w:cnfStyle w:val="001000000000" w:firstRow="0" w:lastRow="0" w:firstColumn="1" w:lastColumn="0" w:oddVBand="0" w:evenVBand="0" w:oddHBand="0" w:evenHBand="0" w:firstRowFirstColumn="0" w:firstRowLastColumn="0" w:lastRowFirstColumn="0" w:lastRowLastColumn="0"/>
            <w:tcW w:w="4815" w:type="dxa"/>
            <w:vAlign w:val="center"/>
          </w:tcPr>
          <w:p w14:paraId="6D2134CF" w14:textId="77777777" w:rsidR="00261D9E" w:rsidRPr="008E45D1" w:rsidRDefault="00261D9E" w:rsidP="00261D9E">
            <w:pPr>
              <w:pStyle w:val="TableText"/>
              <w:rPr>
                <w:rFonts w:cs="Arial"/>
                <w:b w:val="0"/>
                <w:bCs/>
              </w:rPr>
            </w:pPr>
            <w:r w:rsidRPr="008E45D1">
              <w:rPr>
                <w:rFonts w:cs="Arial"/>
                <w:b w:val="0"/>
                <w:bCs/>
                <w:color w:val="000000"/>
              </w:rPr>
              <w:t xml:space="preserve">Second Bass Strait </w:t>
            </w:r>
            <w:r>
              <w:rPr>
                <w:rFonts w:cs="Arial"/>
                <w:b w:val="0"/>
                <w:bCs/>
                <w:color w:val="000000"/>
              </w:rPr>
              <w:t>I</w:t>
            </w:r>
            <w:r w:rsidRPr="008E45D1">
              <w:rPr>
                <w:rFonts w:cs="Arial"/>
                <w:b w:val="0"/>
                <w:bCs/>
                <w:color w:val="000000"/>
              </w:rPr>
              <w:t xml:space="preserve">nterconnector </w:t>
            </w:r>
            <w:r>
              <w:rPr>
                <w:rFonts w:cs="Arial"/>
                <w:b w:val="0"/>
                <w:bCs/>
                <w:color w:val="000000"/>
              </w:rPr>
              <w:t>T</w:t>
            </w:r>
            <w:r w:rsidRPr="008E45D1">
              <w:rPr>
                <w:rFonts w:cs="Arial"/>
                <w:b w:val="0"/>
                <w:bCs/>
                <w:color w:val="000000"/>
              </w:rPr>
              <w:t xml:space="preserve">echnically </w:t>
            </w:r>
            <w:r>
              <w:rPr>
                <w:rFonts w:cs="Arial"/>
                <w:b w:val="0"/>
                <w:bCs/>
                <w:color w:val="000000"/>
              </w:rPr>
              <w:t>F</w:t>
            </w:r>
            <w:r w:rsidRPr="008E45D1">
              <w:rPr>
                <w:rFonts w:cs="Arial"/>
                <w:b w:val="0"/>
                <w:bCs/>
                <w:color w:val="000000"/>
              </w:rPr>
              <w:t>easible</w:t>
            </w:r>
          </w:p>
        </w:tc>
        <w:tc>
          <w:tcPr>
            <w:tcW w:w="3544" w:type="dxa"/>
            <w:vAlign w:val="center"/>
          </w:tcPr>
          <w:p w14:paraId="2DF3CAD5" w14:textId="77777777" w:rsidR="00261D9E" w:rsidRPr="008E45D1" w:rsidRDefault="00261D9E" w:rsidP="00261D9E">
            <w:pPr>
              <w:pStyle w:val="TableText"/>
              <w:cnfStyle w:val="000000000000" w:firstRow="0" w:lastRow="0" w:firstColumn="0" w:lastColumn="0" w:oddVBand="0" w:evenVBand="0" w:oddHBand="0" w:evenHBand="0" w:firstRowFirstColumn="0" w:firstRowLastColumn="0" w:lastRowFirstColumn="0" w:lastRowLastColumn="0"/>
              <w:rPr>
                <w:rFonts w:cs="Arial"/>
              </w:rPr>
            </w:pPr>
            <w:r w:rsidRPr="008E45D1">
              <w:rPr>
                <w:rFonts w:cs="Arial"/>
                <w:color w:val="000000"/>
              </w:rPr>
              <w:t>Arenawire</w:t>
            </w:r>
          </w:p>
        </w:tc>
        <w:tc>
          <w:tcPr>
            <w:tcW w:w="1262" w:type="dxa"/>
            <w:vAlign w:val="center"/>
          </w:tcPr>
          <w:p w14:paraId="7CB91AED" w14:textId="77777777" w:rsidR="00261D9E" w:rsidRPr="008E45D1" w:rsidRDefault="00261D9E" w:rsidP="00261D9E">
            <w:pPr>
              <w:pStyle w:val="TableText"/>
              <w:cnfStyle w:val="000000000000" w:firstRow="0" w:lastRow="0" w:firstColumn="0" w:lastColumn="0" w:oddVBand="0" w:evenVBand="0" w:oddHBand="0" w:evenHBand="0" w:firstRowFirstColumn="0" w:firstRowLastColumn="0" w:lastRowFirstColumn="0" w:lastRowLastColumn="0"/>
              <w:rPr>
                <w:rFonts w:cs="Arial"/>
              </w:rPr>
            </w:pPr>
            <w:r w:rsidRPr="008E45D1">
              <w:rPr>
                <w:rFonts w:cs="Arial"/>
                <w:color w:val="000000"/>
              </w:rPr>
              <w:t>2019</w:t>
            </w:r>
          </w:p>
        </w:tc>
      </w:tr>
      <w:tr w:rsidR="00261D9E" w14:paraId="52B82799" w14:textId="77777777" w:rsidTr="00261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Align w:val="center"/>
          </w:tcPr>
          <w:p w14:paraId="2AD4D9ED" w14:textId="77777777" w:rsidR="00261D9E" w:rsidRPr="008E45D1" w:rsidRDefault="00261D9E" w:rsidP="00261D9E">
            <w:pPr>
              <w:pStyle w:val="TableText"/>
              <w:rPr>
                <w:rFonts w:cs="Arial"/>
                <w:b w:val="0"/>
                <w:bCs/>
              </w:rPr>
            </w:pPr>
            <w:r w:rsidRPr="008E45D1">
              <w:rPr>
                <w:rFonts w:cs="Arial"/>
                <w:b w:val="0"/>
                <w:bCs/>
                <w:color w:val="000000"/>
              </w:rPr>
              <w:t>Australian National Accounts: State Accounts</w:t>
            </w:r>
          </w:p>
        </w:tc>
        <w:tc>
          <w:tcPr>
            <w:tcW w:w="3544" w:type="dxa"/>
            <w:vAlign w:val="center"/>
          </w:tcPr>
          <w:p w14:paraId="42B91E2F" w14:textId="77777777" w:rsidR="00261D9E" w:rsidRPr="008E45D1" w:rsidRDefault="00261D9E" w:rsidP="00261D9E">
            <w:pPr>
              <w:pStyle w:val="TableText"/>
              <w:cnfStyle w:val="000000100000" w:firstRow="0" w:lastRow="0" w:firstColumn="0" w:lastColumn="0" w:oddVBand="0" w:evenVBand="0" w:oddHBand="1" w:evenHBand="0" w:firstRowFirstColumn="0" w:firstRowLastColumn="0" w:lastRowFirstColumn="0" w:lastRowLastColumn="0"/>
              <w:rPr>
                <w:rFonts w:cs="Arial"/>
              </w:rPr>
            </w:pPr>
            <w:r w:rsidRPr="008E45D1">
              <w:rPr>
                <w:rFonts w:cs="Arial"/>
                <w:color w:val="000000"/>
              </w:rPr>
              <w:t>A</w:t>
            </w:r>
            <w:r>
              <w:rPr>
                <w:rFonts w:cs="Arial"/>
                <w:color w:val="000000"/>
              </w:rPr>
              <w:t>ustralian Bureau of Statistics</w:t>
            </w:r>
          </w:p>
        </w:tc>
        <w:tc>
          <w:tcPr>
            <w:tcW w:w="1262" w:type="dxa"/>
            <w:vAlign w:val="center"/>
          </w:tcPr>
          <w:p w14:paraId="52C7B6AF" w14:textId="77777777" w:rsidR="00261D9E" w:rsidRPr="008E45D1" w:rsidRDefault="00261D9E" w:rsidP="00261D9E">
            <w:pPr>
              <w:pStyle w:val="TableText"/>
              <w:cnfStyle w:val="000000100000" w:firstRow="0" w:lastRow="0" w:firstColumn="0" w:lastColumn="0" w:oddVBand="0" w:evenVBand="0" w:oddHBand="1" w:evenHBand="0" w:firstRowFirstColumn="0" w:firstRowLastColumn="0" w:lastRowFirstColumn="0" w:lastRowLastColumn="0"/>
              <w:rPr>
                <w:rFonts w:cs="Arial"/>
              </w:rPr>
            </w:pPr>
            <w:r w:rsidRPr="008E45D1">
              <w:rPr>
                <w:rFonts w:cs="Arial"/>
                <w:color w:val="000000"/>
              </w:rPr>
              <w:t>2019</w:t>
            </w:r>
          </w:p>
        </w:tc>
      </w:tr>
      <w:tr w:rsidR="00261D9E" w14:paraId="328DD6A4" w14:textId="77777777" w:rsidTr="00261D9E">
        <w:tc>
          <w:tcPr>
            <w:cnfStyle w:val="001000000000" w:firstRow="0" w:lastRow="0" w:firstColumn="1" w:lastColumn="0" w:oddVBand="0" w:evenVBand="0" w:oddHBand="0" w:evenHBand="0" w:firstRowFirstColumn="0" w:firstRowLastColumn="0" w:lastRowFirstColumn="0" w:lastRowLastColumn="0"/>
            <w:tcW w:w="4815" w:type="dxa"/>
            <w:vAlign w:val="center"/>
          </w:tcPr>
          <w:p w14:paraId="7DD3F21E" w14:textId="77777777" w:rsidR="00261D9E" w:rsidRPr="009F3FA0" w:rsidRDefault="00261D9E" w:rsidP="00261D9E">
            <w:pPr>
              <w:pStyle w:val="TableText"/>
              <w:rPr>
                <w:rFonts w:cs="Arial"/>
                <w:b w:val="0"/>
                <w:bCs/>
                <w:color w:val="000000"/>
              </w:rPr>
            </w:pPr>
            <w:r w:rsidRPr="009F3FA0">
              <w:rPr>
                <w:b w:val="0"/>
                <w:bCs/>
              </w:rPr>
              <w:t>Census of Population and Housing</w:t>
            </w:r>
          </w:p>
        </w:tc>
        <w:tc>
          <w:tcPr>
            <w:tcW w:w="3544" w:type="dxa"/>
            <w:vAlign w:val="center"/>
          </w:tcPr>
          <w:p w14:paraId="46FC6B6C" w14:textId="77777777" w:rsidR="00261D9E" w:rsidRPr="008E45D1" w:rsidRDefault="00261D9E" w:rsidP="00261D9E">
            <w:pPr>
              <w:pStyle w:val="TableText"/>
              <w:cnfStyle w:val="000000000000" w:firstRow="0" w:lastRow="0" w:firstColumn="0" w:lastColumn="0" w:oddVBand="0" w:evenVBand="0" w:oddHBand="0" w:evenHBand="0" w:firstRowFirstColumn="0" w:firstRowLastColumn="0" w:lastRowFirstColumn="0" w:lastRowLastColumn="0"/>
              <w:rPr>
                <w:rFonts w:cs="Arial"/>
                <w:color w:val="000000"/>
              </w:rPr>
            </w:pPr>
            <w:r w:rsidRPr="008E45D1">
              <w:rPr>
                <w:rFonts w:cs="Arial"/>
                <w:color w:val="000000"/>
              </w:rPr>
              <w:t>A</w:t>
            </w:r>
            <w:r>
              <w:rPr>
                <w:rFonts w:cs="Arial"/>
                <w:color w:val="000000"/>
              </w:rPr>
              <w:t>ustralian Bureau of Statistics</w:t>
            </w:r>
          </w:p>
        </w:tc>
        <w:tc>
          <w:tcPr>
            <w:tcW w:w="1262" w:type="dxa"/>
            <w:vAlign w:val="center"/>
          </w:tcPr>
          <w:p w14:paraId="5CB1F842" w14:textId="77777777" w:rsidR="00261D9E" w:rsidRPr="008E45D1" w:rsidRDefault="00261D9E" w:rsidP="00261D9E">
            <w:pPr>
              <w:pStyle w:val="TableTex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2016</w:t>
            </w:r>
          </w:p>
        </w:tc>
      </w:tr>
      <w:tr w:rsidR="00261D9E" w14:paraId="7AB03662" w14:textId="77777777" w:rsidTr="00261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Align w:val="center"/>
          </w:tcPr>
          <w:p w14:paraId="0670232E" w14:textId="77777777" w:rsidR="00261D9E" w:rsidRPr="008E45D1" w:rsidRDefault="00261D9E" w:rsidP="00261D9E">
            <w:pPr>
              <w:pStyle w:val="TableText"/>
              <w:rPr>
                <w:rFonts w:cs="Arial"/>
                <w:b w:val="0"/>
                <w:bCs/>
              </w:rPr>
            </w:pPr>
            <w:r w:rsidRPr="008E45D1">
              <w:rPr>
                <w:rFonts w:cs="Arial"/>
                <w:b w:val="0"/>
                <w:bCs/>
                <w:color w:val="000000"/>
              </w:rPr>
              <w:t>Labour Market Information Portal</w:t>
            </w:r>
          </w:p>
        </w:tc>
        <w:tc>
          <w:tcPr>
            <w:tcW w:w="3544" w:type="dxa"/>
            <w:vAlign w:val="center"/>
          </w:tcPr>
          <w:p w14:paraId="170247C6" w14:textId="77777777" w:rsidR="00261D9E" w:rsidRPr="008E45D1" w:rsidRDefault="00261D9E" w:rsidP="00261D9E">
            <w:pPr>
              <w:pStyle w:val="TableText"/>
              <w:cnfStyle w:val="000000100000" w:firstRow="0" w:lastRow="0" w:firstColumn="0" w:lastColumn="0" w:oddVBand="0" w:evenVBand="0" w:oddHBand="1" w:evenHBand="0" w:firstRowFirstColumn="0" w:firstRowLastColumn="0" w:lastRowFirstColumn="0" w:lastRowLastColumn="0"/>
              <w:rPr>
                <w:rFonts w:cs="Arial"/>
              </w:rPr>
            </w:pPr>
            <w:r w:rsidRPr="008E45D1">
              <w:rPr>
                <w:rFonts w:cs="Arial"/>
                <w:color w:val="000000"/>
              </w:rPr>
              <w:t>A</w:t>
            </w:r>
            <w:r>
              <w:rPr>
                <w:rFonts w:cs="Arial"/>
                <w:color w:val="000000"/>
              </w:rPr>
              <w:t>ustralian Bureau of Statistics</w:t>
            </w:r>
          </w:p>
        </w:tc>
        <w:tc>
          <w:tcPr>
            <w:tcW w:w="1262" w:type="dxa"/>
            <w:vAlign w:val="center"/>
          </w:tcPr>
          <w:p w14:paraId="4D8822E9" w14:textId="77777777" w:rsidR="00261D9E" w:rsidRPr="008E45D1" w:rsidRDefault="00261D9E" w:rsidP="00261D9E">
            <w:pPr>
              <w:pStyle w:val="TableText"/>
              <w:cnfStyle w:val="000000100000" w:firstRow="0" w:lastRow="0" w:firstColumn="0" w:lastColumn="0" w:oddVBand="0" w:evenVBand="0" w:oddHBand="1" w:evenHBand="0" w:firstRowFirstColumn="0" w:firstRowLastColumn="0" w:lastRowFirstColumn="0" w:lastRowLastColumn="0"/>
              <w:rPr>
                <w:rFonts w:cs="Arial"/>
              </w:rPr>
            </w:pPr>
            <w:r w:rsidRPr="008E45D1">
              <w:rPr>
                <w:rFonts w:cs="Arial"/>
                <w:color w:val="000000"/>
              </w:rPr>
              <w:t>2019</w:t>
            </w:r>
          </w:p>
        </w:tc>
      </w:tr>
      <w:tr w:rsidR="00261D9E" w14:paraId="0493DE89" w14:textId="77777777" w:rsidTr="00261D9E">
        <w:tc>
          <w:tcPr>
            <w:cnfStyle w:val="001000000000" w:firstRow="0" w:lastRow="0" w:firstColumn="1" w:lastColumn="0" w:oddVBand="0" w:evenVBand="0" w:oddHBand="0" w:evenHBand="0" w:firstRowFirstColumn="0" w:firstRowLastColumn="0" w:lastRowFirstColumn="0" w:lastRowLastColumn="0"/>
            <w:tcW w:w="4815" w:type="dxa"/>
            <w:vAlign w:val="center"/>
          </w:tcPr>
          <w:p w14:paraId="55234376" w14:textId="77777777" w:rsidR="00261D9E" w:rsidRPr="008E45D1" w:rsidRDefault="00261D9E" w:rsidP="00261D9E">
            <w:pPr>
              <w:pStyle w:val="TableText"/>
              <w:rPr>
                <w:rFonts w:cs="Arial"/>
                <w:b w:val="0"/>
                <w:bCs/>
              </w:rPr>
            </w:pPr>
            <w:r w:rsidRPr="008E45D1">
              <w:rPr>
                <w:rFonts w:cs="Arial"/>
                <w:b w:val="0"/>
                <w:bCs/>
                <w:color w:val="000000"/>
              </w:rPr>
              <w:t>Riley Mine Restart Pays Off for Venture Minerals</w:t>
            </w:r>
          </w:p>
        </w:tc>
        <w:tc>
          <w:tcPr>
            <w:tcW w:w="3544" w:type="dxa"/>
            <w:vAlign w:val="center"/>
          </w:tcPr>
          <w:p w14:paraId="44DFFB6E" w14:textId="77777777" w:rsidR="00261D9E" w:rsidRPr="008E45D1" w:rsidRDefault="00261D9E" w:rsidP="00261D9E">
            <w:pPr>
              <w:pStyle w:val="TableText"/>
              <w:cnfStyle w:val="000000000000" w:firstRow="0" w:lastRow="0" w:firstColumn="0" w:lastColumn="0" w:oddVBand="0" w:evenVBand="0" w:oddHBand="0" w:evenHBand="0" w:firstRowFirstColumn="0" w:firstRowLastColumn="0" w:lastRowFirstColumn="0" w:lastRowLastColumn="0"/>
              <w:rPr>
                <w:rFonts w:cs="Arial"/>
              </w:rPr>
            </w:pPr>
            <w:r w:rsidRPr="008E45D1">
              <w:rPr>
                <w:rFonts w:cs="Arial"/>
                <w:color w:val="000000"/>
              </w:rPr>
              <w:t xml:space="preserve">Australian Mining </w:t>
            </w:r>
          </w:p>
        </w:tc>
        <w:tc>
          <w:tcPr>
            <w:tcW w:w="1262" w:type="dxa"/>
            <w:vAlign w:val="center"/>
          </w:tcPr>
          <w:p w14:paraId="5FBD8493" w14:textId="77777777" w:rsidR="00261D9E" w:rsidRPr="008E45D1" w:rsidRDefault="00261D9E" w:rsidP="00261D9E">
            <w:pPr>
              <w:pStyle w:val="TableText"/>
              <w:cnfStyle w:val="000000000000" w:firstRow="0" w:lastRow="0" w:firstColumn="0" w:lastColumn="0" w:oddVBand="0" w:evenVBand="0" w:oddHBand="0" w:evenHBand="0" w:firstRowFirstColumn="0" w:firstRowLastColumn="0" w:lastRowFirstColumn="0" w:lastRowLastColumn="0"/>
              <w:rPr>
                <w:rFonts w:cs="Arial"/>
              </w:rPr>
            </w:pPr>
            <w:r w:rsidRPr="008E45D1">
              <w:rPr>
                <w:rFonts w:cs="Arial"/>
                <w:color w:val="000000"/>
              </w:rPr>
              <w:t>2019</w:t>
            </w:r>
          </w:p>
        </w:tc>
      </w:tr>
      <w:tr w:rsidR="00261D9E" w14:paraId="2479AA13" w14:textId="77777777" w:rsidTr="00261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Align w:val="center"/>
          </w:tcPr>
          <w:p w14:paraId="37CCED29" w14:textId="77777777" w:rsidR="00261D9E" w:rsidRDefault="00261D9E" w:rsidP="00261D9E">
            <w:pPr>
              <w:pStyle w:val="TableText"/>
              <w:rPr>
                <w:rFonts w:cs="Arial"/>
                <w:b w:val="0"/>
                <w:bCs/>
                <w:color w:val="000000"/>
              </w:rPr>
            </w:pPr>
            <w:r>
              <w:rPr>
                <w:rFonts w:cs="Arial"/>
                <w:b w:val="0"/>
                <w:bCs/>
                <w:color w:val="000000"/>
              </w:rPr>
              <w:t>Role of the Tasmanian Minerals &amp; Energy Council’s Priary Wealth Generating Group of Companies in the Tasmanian Economy</w:t>
            </w:r>
          </w:p>
        </w:tc>
        <w:tc>
          <w:tcPr>
            <w:tcW w:w="3544" w:type="dxa"/>
            <w:vAlign w:val="center"/>
          </w:tcPr>
          <w:p w14:paraId="4BB30AFF" w14:textId="77777777" w:rsidR="00261D9E" w:rsidRPr="00EB7022" w:rsidRDefault="00261D9E" w:rsidP="00261D9E">
            <w:pPr>
              <w:pStyle w:val="TableTex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Brue Felminghman Consultancy</w:t>
            </w:r>
          </w:p>
        </w:tc>
        <w:tc>
          <w:tcPr>
            <w:tcW w:w="1262" w:type="dxa"/>
            <w:vAlign w:val="center"/>
          </w:tcPr>
          <w:p w14:paraId="2EB9AEF5" w14:textId="77777777" w:rsidR="00261D9E" w:rsidRDefault="00261D9E" w:rsidP="00261D9E">
            <w:pPr>
              <w:pStyle w:val="TableTex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2016</w:t>
            </w:r>
          </w:p>
        </w:tc>
      </w:tr>
      <w:tr w:rsidR="00261D9E" w14:paraId="7C7D7F58" w14:textId="77777777" w:rsidTr="00261D9E">
        <w:tc>
          <w:tcPr>
            <w:cnfStyle w:val="001000000000" w:firstRow="0" w:lastRow="0" w:firstColumn="1" w:lastColumn="0" w:oddVBand="0" w:evenVBand="0" w:oddHBand="0" w:evenHBand="0" w:firstRowFirstColumn="0" w:firstRowLastColumn="0" w:lastRowFirstColumn="0" w:lastRowLastColumn="0"/>
            <w:tcW w:w="4815" w:type="dxa"/>
            <w:vAlign w:val="center"/>
          </w:tcPr>
          <w:p w14:paraId="6A7E4FCD" w14:textId="77777777" w:rsidR="00261D9E" w:rsidRDefault="00261D9E" w:rsidP="00261D9E">
            <w:pPr>
              <w:pStyle w:val="TableText"/>
              <w:rPr>
                <w:rFonts w:cs="Arial"/>
                <w:b w:val="0"/>
                <w:bCs/>
                <w:color w:val="000000"/>
              </w:rPr>
            </w:pPr>
            <w:r>
              <w:rPr>
                <w:rFonts w:cs="Arial"/>
                <w:b w:val="0"/>
                <w:bCs/>
                <w:color w:val="000000"/>
              </w:rPr>
              <w:t>Cradle Coast Region Pathfinder Regional Growth Strategy</w:t>
            </w:r>
          </w:p>
        </w:tc>
        <w:tc>
          <w:tcPr>
            <w:tcW w:w="3544" w:type="dxa"/>
            <w:vAlign w:val="center"/>
          </w:tcPr>
          <w:p w14:paraId="0AC84E75" w14:textId="77777777" w:rsidR="00261D9E" w:rsidRDefault="00261D9E" w:rsidP="00261D9E">
            <w:pPr>
              <w:pStyle w:val="TableTex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Cradle Coast Authority</w:t>
            </w:r>
          </w:p>
        </w:tc>
        <w:tc>
          <w:tcPr>
            <w:tcW w:w="1262" w:type="dxa"/>
            <w:vAlign w:val="center"/>
          </w:tcPr>
          <w:p w14:paraId="41768FF5" w14:textId="77777777" w:rsidR="00261D9E" w:rsidRDefault="00261D9E" w:rsidP="00261D9E">
            <w:pPr>
              <w:pStyle w:val="TableTex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2018</w:t>
            </w:r>
          </w:p>
        </w:tc>
      </w:tr>
      <w:tr w:rsidR="00261D9E" w14:paraId="38B613A1" w14:textId="77777777" w:rsidTr="00261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Align w:val="center"/>
          </w:tcPr>
          <w:p w14:paraId="758B4EE6" w14:textId="77777777" w:rsidR="00261D9E" w:rsidRPr="008E45D1" w:rsidRDefault="00261D9E" w:rsidP="00261D9E">
            <w:pPr>
              <w:pStyle w:val="TableText"/>
              <w:rPr>
                <w:rFonts w:cs="Arial"/>
                <w:b w:val="0"/>
                <w:bCs/>
                <w:color w:val="000000"/>
              </w:rPr>
            </w:pPr>
            <w:r>
              <w:rPr>
                <w:rFonts w:cs="Arial"/>
                <w:b w:val="0"/>
                <w:bCs/>
                <w:color w:val="000000"/>
              </w:rPr>
              <w:t>The Cradle Coast Regional Futures Plan 2019-2022</w:t>
            </w:r>
          </w:p>
        </w:tc>
        <w:tc>
          <w:tcPr>
            <w:tcW w:w="3544" w:type="dxa"/>
            <w:vAlign w:val="center"/>
          </w:tcPr>
          <w:p w14:paraId="7C5EB82D" w14:textId="77777777" w:rsidR="00261D9E" w:rsidRPr="008E45D1" w:rsidRDefault="00261D9E" w:rsidP="00261D9E">
            <w:pPr>
              <w:pStyle w:val="TableTex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Cradle Coast Authority</w:t>
            </w:r>
          </w:p>
        </w:tc>
        <w:tc>
          <w:tcPr>
            <w:tcW w:w="1262" w:type="dxa"/>
            <w:vAlign w:val="center"/>
          </w:tcPr>
          <w:p w14:paraId="58CC8278" w14:textId="77777777" w:rsidR="00261D9E" w:rsidRPr="008E45D1" w:rsidRDefault="00261D9E" w:rsidP="00261D9E">
            <w:pPr>
              <w:pStyle w:val="TableTex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2018</w:t>
            </w:r>
          </w:p>
        </w:tc>
      </w:tr>
      <w:tr w:rsidR="00261D9E" w14:paraId="2DBBADFC" w14:textId="77777777" w:rsidTr="00261D9E">
        <w:tc>
          <w:tcPr>
            <w:cnfStyle w:val="001000000000" w:firstRow="0" w:lastRow="0" w:firstColumn="1" w:lastColumn="0" w:oddVBand="0" w:evenVBand="0" w:oddHBand="0" w:evenHBand="0" w:firstRowFirstColumn="0" w:firstRowLastColumn="0" w:lastRowFirstColumn="0" w:lastRowLastColumn="0"/>
            <w:tcW w:w="4815" w:type="dxa"/>
            <w:vAlign w:val="center"/>
          </w:tcPr>
          <w:p w14:paraId="3C1BDFC1" w14:textId="77777777" w:rsidR="00261D9E" w:rsidRPr="008E45D1" w:rsidRDefault="00261D9E" w:rsidP="00261D9E">
            <w:pPr>
              <w:pStyle w:val="TableText"/>
              <w:rPr>
                <w:rFonts w:cs="Arial"/>
                <w:b w:val="0"/>
                <w:bCs/>
              </w:rPr>
            </w:pPr>
            <w:r w:rsidRPr="008E45D1">
              <w:rPr>
                <w:rFonts w:cs="Arial"/>
                <w:b w:val="0"/>
                <w:bCs/>
                <w:color w:val="000000"/>
              </w:rPr>
              <w:t>MySkills</w:t>
            </w:r>
          </w:p>
        </w:tc>
        <w:tc>
          <w:tcPr>
            <w:tcW w:w="3544" w:type="dxa"/>
            <w:vAlign w:val="center"/>
          </w:tcPr>
          <w:p w14:paraId="1463C7E8" w14:textId="77777777" w:rsidR="00261D9E" w:rsidRPr="008E45D1" w:rsidRDefault="00261D9E" w:rsidP="00261D9E">
            <w:pPr>
              <w:pStyle w:val="TableText"/>
              <w:cnfStyle w:val="000000000000" w:firstRow="0" w:lastRow="0" w:firstColumn="0" w:lastColumn="0" w:oddVBand="0" w:evenVBand="0" w:oddHBand="0" w:evenHBand="0" w:firstRowFirstColumn="0" w:firstRowLastColumn="0" w:lastRowFirstColumn="0" w:lastRowLastColumn="0"/>
              <w:rPr>
                <w:rFonts w:cs="Arial"/>
              </w:rPr>
            </w:pPr>
            <w:r w:rsidRPr="008E45D1">
              <w:rPr>
                <w:rFonts w:cs="Arial"/>
                <w:color w:val="000000"/>
              </w:rPr>
              <w:t>Department of Employment, Skills, Small and Family Business</w:t>
            </w:r>
          </w:p>
        </w:tc>
        <w:tc>
          <w:tcPr>
            <w:tcW w:w="1262" w:type="dxa"/>
            <w:vAlign w:val="center"/>
          </w:tcPr>
          <w:p w14:paraId="52F8CC1F" w14:textId="77777777" w:rsidR="00261D9E" w:rsidRPr="008E45D1" w:rsidRDefault="00261D9E" w:rsidP="00261D9E">
            <w:pPr>
              <w:pStyle w:val="TableText"/>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rPr>
              <w:t>2019</w:t>
            </w:r>
          </w:p>
        </w:tc>
      </w:tr>
      <w:tr w:rsidR="00261D9E" w14:paraId="587965E9" w14:textId="77777777" w:rsidTr="00261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Align w:val="center"/>
          </w:tcPr>
          <w:p w14:paraId="140E6588" w14:textId="77777777" w:rsidR="00261D9E" w:rsidRPr="008E45D1" w:rsidRDefault="00261D9E" w:rsidP="00261D9E">
            <w:pPr>
              <w:pStyle w:val="TableText"/>
              <w:rPr>
                <w:rFonts w:cs="Arial"/>
                <w:b w:val="0"/>
                <w:bCs/>
              </w:rPr>
            </w:pPr>
            <w:r w:rsidRPr="008E45D1">
              <w:rPr>
                <w:rFonts w:cs="Arial"/>
                <w:b w:val="0"/>
                <w:bCs/>
                <w:color w:val="000000"/>
              </w:rPr>
              <w:t>2014 Sector Summary for Mining</w:t>
            </w:r>
          </w:p>
        </w:tc>
        <w:tc>
          <w:tcPr>
            <w:tcW w:w="3544" w:type="dxa"/>
            <w:vAlign w:val="center"/>
          </w:tcPr>
          <w:p w14:paraId="0759C2BD" w14:textId="77777777" w:rsidR="00261D9E" w:rsidRPr="008E45D1" w:rsidRDefault="00261D9E" w:rsidP="00261D9E">
            <w:pPr>
              <w:pStyle w:val="TableText"/>
              <w:cnfStyle w:val="000000100000" w:firstRow="0" w:lastRow="0" w:firstColumn="0" w:lastColumn="0" w:oddVBand="0" w:evenVBand="0" w:oddHBand="1" w:evenHBand="0" w:firstRowFirstColumn="0" w:firstRowLastColumn="0" w:lastRowFirstColumn="0" w:lastRowLastColumn="0"/>
              <w:rPr>
                <w:rFonts w:cs="Arial"/>
              </w:rPr>
            </w:pPr>
            <w:r w:rsidRPr="008E45D1">
              <w:rPr>
                <w:rFonts w:cs="Arial"/>
                <w:color w:val="000000"/>
              </w:rPr>
              <w:t>Department of State Growth</w:t>
            </w:r>
          </w:p>
        </w:tc>
        <w:tc>
          <w:tcPr>
            <w:tcW w:w="1262" w:type="dxa"/>
            <w:vAlign w:val="center"/>
          </w:tcPr>
          <w:p w14:paraId="19908635" w14:textId="77777777" w:rsidR="00261D9E" w:rsidRPr="008E45D1" w:rsidRDefault="00261D9E" w:rsidP="00261D9E">
            <w:pPr>
              <w:pStyle w:val="TableText"/>
              <w:cnfStyle w:val="000000100000" w:firstRow="0" w:lastRow="0" w:firstColumn="0" w:lastColumn="0" w:oddVBand="0" w:evenVBand="0" w:oddHBand="1" w:evenHBand="0" w:firstRowFirstColumn="0" w:firstRowLastColumn="0" w:lastRowFirstColumn="0" w:lastRowLastColumn="0"/>
              <w:rPr>
                <w:rFonts w:cs="Arial"/>
              </w:rPr>
            </w:pPr>
            <w:r w:rsidRPr="008E45D1">
              <w:rPr>
                <w:rFonts w:cs="Arial"/>
                <w:color w:val="000000"/>
              </w:rPr>
              <w:t>2014</w:t>
            </w:r>
          </w:p>
        </w:tc>
      </w:tr>
      <w:tr w:rsidR="00261D9E" w14:paraId="096174D5" w14:textId="77777777" w:rsidTr="00261D9E">
        <w:tc>
          <w:tcPr>
            <w:cnfStyle w:val="001000000000" w:firstRow="0" w:lastRow="0" w:firstColumn="1" w:lastColumn="0" w:oddVBand="0" w:evenVBand="0" w:oddHBand="0" w:evenHBand="0" w:firstRowFirstColumn="0" w:firstRowLastColumn="0" w:lastRowFirstColumn="0" w:lastRowLastColumn="0"/>
            <w:tcW w:w="4815" w:type="dxa"/>
            <w:vAlign w:val="center"/>
          </w:tcPr>
          <w:p w14:paraId="44478080" w14:textId="77777777" w:rsidR="00261D9E" w:rsidRPr="008E45D1" w:rsidRDefault="00261D9E" w:rsidP="00261D9E">
            <w:pPr>
              <w:pStyle w:val="TableText"/>
              <w:rPr>
                <w:rFonts w:cs="Arial"/>
                <w:b w:val="0"/>
                <w:bCs/>
              </w:rPr>
            </w:pPr>
            <w:r w:rsidRPr="008E45D1">
              <w:rPr>
                <w:rFonts w:cs="Arial"/>
                <w:b w:val="0"/>
                <w:bCs/>
                <w:color w:val="000000"/>
              </w:rPr>
              <w:t>Export Statistics</w:t>
            </w:r>
          </w:p>
        </w:tc>
        <w:tc>
          <w:tcPr>
            <w:tcW w:w="3544" w:type="dxa"/>
            <w:vAlign w:val="center"/>
          </w:tcPr>
          <w:p w14:paraId="061974B6" w14:textId="77777777" w:rsidR="00261D9E" w:rsidRPr="008E45D1" w:rsidRDefault="00261D9E" w:rsidP="00261D9E">
            <w:pPr>
              <w:pStyle w:val="TableText"/>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rPr>
              <w:t xml:space="preserve">Department of </w:t>
            </w:r>
            <w:r w:rsidRPr="008E45D1">
              <w:rPr>
                <w:rFonts w:cs="Arial"/>
                <w:color w:val="000000"/>
              </w:rPr>
              <w:t>State Growth</w:t>
            </w:r>
          </w:p>
        </w:tc>
        <w:tc>
          <w:tcPr>
            <w:tcW w:w="1262" w:type="dxa"/>
            <w:vAlign w:val="center"/>
          </w:tcPr>
          <w:p w14:paraId="199F252A" w14:textId="77777777" w:rsidR="00261D9E" w:rsidRPr="008E45D1" w:rsidRDefault="00261D9E" w:rsidP="00261D9E">
            <w:pPr>
              <w:pStyle w:val="TableText"/>
              <w:cnfStyle w:val="000000000000" w:firstRow="0" w:lastRow="0" w:firstColumn="0" w:lastColumn="0" w:oddVBand="0" w:evenVBand="0" w:oddHBand="0" w:evenHBand="0" w:firstRowFirstColumn="0" w:firstRowLastColumn="0" w:lastRowFirstColumn="0" w:lastRowLastColumn="0"/>
              <w:rPr>
                <w:rFonts w:cs="Arial"/>
              </w:rPr>
            </w:pPr>
            <w:r>
              <w:rPr>
                <w:rFonts w:cs="Arial"/>
              </w:rPr>
              <w:t>2019</w:t>
            </w:r>
          </w:p>
        </w:tc>
      </w:tr>
      <w:tr w:rsidR="00261D9E" w14:paraId="35114038" w14:textId="77777777" w:rsidTr="00261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Align w:val="center"/>
          </w:tcPr>
          <w:p w14:paraId="7ACBC82C" w14:textId="77777777" w:rsidR="00261D9E" w:rsidRPr="008E45D1" w:rsidRDefault="00261D9E" w:rsidP="00261D9E">
            <w:pPr>
              <w:pStyle w:val="TableText"/>
              <w:rPr>
                <w:rFonts w:cs="Arial"/>
                <w:b w:val="0"/>
                <w:bCs/>
              </w:rPr>
            </w:pPr>
            <w:r w:rsidRPr="008E45D1">
              <w:rPr>
                <w:rFonts w:cs="Arial"/>
                <w:b w:val="0"/>
                <w:bCs/>
                <w:color w:val="000000"/>
              </w:rPr>
              <w:t>Sector Summary</w:t>
            </w:r>
          </w:p>
        </w:tc>
        <w:tc>
          <w:tcPr>
            <w:tcW w:w="3544" w:type="dxa"/>
            <w:vAlign w:val="center"/>
          </w:tcPr>
          <w:p w14:paraId="76CB340C" w14:textId="77777777" w:rsidR="00261D9E" w:rsidRPr="008E45D1" w:rsidRDefault="00261D9E" w:rsidP="00261D9E">
            <w:pPr>
              <w:pStyle w:val="TableText"/>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rPr>
              <w:t xml:space="preserve">Department of </w:t>
            </w:r>
            <w:r w:rsidRPr="008E45D1">
              <w:rPr>
                <w:rFonts w:cs="Arial"/>
                <w:color w:val="000000"/>
              </w:rPr>
              <w:t>State Growth</w:t>
            </w:r>
          </w:p>
        </w:tc>
        <w:tc>
          <w:tcPr>
            <w:tcW w:w="1262" w:type="dxa"/>
            <w:vAlign w:val="center"/>
          </w:tcPr>
          <w:p w14:paraId="6C989822" w14:textId="77777777" w:rsidR="00261D9E" w:rsidRPr="008E45D1" w:rsidRDefault="00261D9E" w:rsidP="00261D9E">
            <w:pPr>
              <w:pStyle w:val="TableText"/>
              <w:cnfStyle w:val="000000100000" w:firstRow="0" w:lastRow="0" w:firstColumn="0" w:lastColumn="0" w:oddVBand="0" w:evenVBand="0" w:oddHBand="1" w:evenHBand="0" w:firstRowFirstColumn="0" w:firstRowLastColumn="0" w:lastRowFirstColumn="0" w:lastRowLastColumn="0"/>
              <w:rPr>
                <w:rFonts w:cs="Arial"/>
              </w:rPr>
            </w:pPr>
            <w:r w:rsidRPr="008E45D1">
              <w:rPr>
                <w:rFonts w:cs="Arial"/>
                <w:color w:val="000000"/>
              </w:rPr>
              <w:t>2014</w:t>
            </w:r>
          </w:p>
        </w:tc>
      </w:tr>
      <w:tr w:rsidR="00261D9E" w14:paraId="71F51E63" w14:textId="77777777" w:rsidTr="00261D9E">
        <w:tc>
          <w:tcPr>
            <w:cnfStyle w:val="001000000000" w:firstRow="0" w:lastRow="0" w:firstColumn="1" w:lastColumn="0" w:oddVBand="0" w:evenVBand="0" w:oddHBand="0" w:evenHBand="0" w:firstRowFirstColumn="0" w:firstRowLastColumn="0" w:lastRowFirstColumn="0" w:lastRowLastColumn="0"/>
            <w:tcW w:w="4815" w:type="dxa"/>
            <w:vAlign w:val="center"/>
          </w:tcPr>
          <w:p w14:paraId="71D98586" w14:textId="77777777" w:rsidR="00261D9E" w:rsidRPr="008E45D1" w:rsidRDefault="00261D9E" w:rsidP="00261D9E">
            <w:pPr>
              <w:pStyle w:val="TableText"/>
              <w:rPr>
                <w:rFonts w:cs="Arial"/>
                <w:b w:val="0"/>
                <w:bCs/>
              </w:rPr>
            </w:pPr>
            <w:r w:rsidRPr="008E45D1">
              <w:rPr>
                <w:rFonts w:cs="Arial"/>
                <w:b w:val="0"/>
                <w:bCs/>
                <w:color w:val="000000"/>
              </w:rPr>
              <w:t>Tasmanian Advanced Manufacturing Action Plan</w:t>
            </w:r>
          </w:p>
        </w:tc>
        <w:tc>
          <w:tcPr>
            <w:tcW w:w="3544" w:type="dxa"/>
            <w:vAlign w:val="center"/>
          </w:tcPr>
          <w:p w14:paraId="40E45613" w14:textId="77777777" w:rsidR="00261D9E" w:rsidRPr="008E45D1" w:rsidRDefault="00261D9E" w:rsidP="00261D9E">
            <w:pPr>
              <w:pStyle w:val="TableText"/>
              <w:cnfStyle w:val="000000000000" w:firstRow="0" w:lastRow="0" w:firstColumn="0" w:lastColumn="0" w:oddVBand="0" w:evenVBand="0" w:oddHBand="0" w:evenHBand="0" w:firstRowFirstColumn="0" w:firstRowLastColumn="0" w:lastRowFirstColumn="0" w:lastRowLastColumn="0"/>
              <w:rPr>
                <w:rFonts w:cs="Arial"/>
              </w:rPr>
            </w:pPr>
            <w:r w:rsidRPr="008E45D1">
              <w:rPr>
                <w:rFonts w:cs="Arial"/>
                <w:color w:val="000000"/>
              </w:rPr>
              <w:t>Department of State Growth</w:t>
            </w:r>
          </w:p>
        </w:tc>
        <w:tc>
          <w:tcPr>
            <w:tcW w:w="1262" w:type="dxa"/>
            <w:vAlign w:val="center"/>
          </w:tcPr>
          <w:p w14:paraId="12C6DC10" w14:textId="77777777" w:rsidR="00261D9E" w:rsidRPr="008E45D1" w:rsidRDefault="00261D9E" w:rsidP="00261D9E">
            <w:pPr>
              <w:pStyle w:val="TableText"/>
              <w:cnfStyle w:val="000000000000" w:firstRow="0" w:lastRow="0" w:firstColumn="0" w:lastColumn="0" w:oddVBand="0" w:evenVBand="0" w:oddHBand="0" w:evenHBand="0" w:firstRowFirstColumn="0" w:firstRowLastColumn="0" w:lastRowFirstColumn="0" w:lastRowLastColumn="0"/>
              <w:rPr>
                <w:rFonts w:cs="Arial"/>
              </w:rPr>
            </w:pPr>
            <w:r w:rsidRPr="008E45D1">
              <w:rPr>
                <w:rFonts w:cs="Arial"/>
                <w:color w:val="000000"/>
              </w:rPr>
              <w:t>2016</w:t>
            </w:r>
          </w:p>
        </w:tc>
      </w:tr>
      <w:tr w:rsidR="00261D9E" w14:paraId="177EA49E" w14:textId="77777777" w:rsidTr="00261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Align w:val="center"/>
          </w:tcPr>
          <w:p w14:paraId="639BAE3B" w14:textId="77777777" w:rsidR="00261D9E" w:rsidRDefault="00261D9E" w:rsidP="00261D9E">
            <w:pPr>
              <w:pStyle w:val="TableText"/>
              <w:rPr>
                <w:rFonts w:cs="Arial"/>
                <w:b w:val="0"/>
                <w:bCs/>
                <w:color w:val="000000"/>
              </w:rPr>
            </w:pPr>
            <w:r>
              <w:rPr>
                <w:rFonts w:cs="Arial"/>
                <w:b w:val="0"/>
                <w:bCs/>
                <w:color w:val="000000"/>
              </w:rPr>
              <w:t>Tasmanian Skilled Occupations List (TSOL) 2017-18</w:t>
            </w:r>
          </w:p>
        </w:tc>
        <w:tc>
          <w:tcPr>
            <w:tcW w:w="3544" w:type="dxa"/>
            <w:vAlign w:val="center"/>
          </w:tcPr>
          <w:p w14:paraId="6677E76C" w14:textId="77777777" w:rsidR="00261D9E" w:rsidRDefault="00261D9E" w:rsidP="00261D9E">
            <w:pPr>
              <w:pStyle w:val="TableTex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Department of State Growth</w:t>
            </w:r>
          </w:p>
        </w:tc>
        <w:tc>
          <w:tcPr>
            <w:tcW w:w="1262" w:type="dxa"/>
            <w:vAlign w:val="center"/>
          </w:tcPr>
          <w:p w14:paraId="20F5F9D8" w14:textId="77777777" w:rsidR="00261D9E" w:rsidRDefault="00261D9E" w:rsidP="00261D9E">
            <w:pPr>
              <w:pStyle w:val="TableTex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2019</w:t>
            </w:r>
          </w:p>
        </w:tc>
      </w:tr>
      <w:tr w:rsidR="00261D9E" w14:paraId="7EFBDE42" w14:textId="77777777" w:rsidTr="00261D9E">
        <w:tc>
          <w:tcPr>
            <w:cnfStyle w:val="001000000000" w:firstRow="0" w:lastRow="0" w:firstColumn="1" w:lastColumn="0" w:oddVBand="0" w:evenVBand="0" w:oddHBand="0" w:evenHBand="0" w:firstRowFirstColumn="0" w:firstRowLastColumn="0" w:lastRowFirstColumn="0" w:lastRowLastColumn="0"/>
            <w:tcW w:w="4815" w:type="dxa"/>
            <w:vAlign w:val="center"/>
          </w:tcPr>
          <w:p w14:paraId="707E105F" w14:textId="77777777" w:rsidR="00261D9E" w:rsidRDefault="00261D9E" w:rsidP="00261D9E">
            <w:pPr>
              <w:pStyle w:val="TableText"/>
              <w:rPr>
                <w:rFonts w:cs="Arial"/>
                <w:b w:val="0"/>
                <w:bCs/>
                <w:color w:val="000000"/>
              </w:rPr>
            </w:pPr>
            <w:r>
              <w:rPr>
                <w:rFonts w:cs="Arial"/>
                <w:b w:val="0"/>
                <w:bCs/>
                <w:color w:val="000000"/>
              </w:rPr>
              <w:t>Mid West Workforce Development Plan 2015-2018</w:t>
            </w:r>
          </w:p>
        </w:tc>
        <w:tc>
          <w:tcPr>
            <w:tcW w:w="3544" w:type="dxa"/>
            <w:vAlign w:val="center"/>
          </w:tcPr>
          <w:p w14:paraId="2F46F796" w14:textId="77777777" w:rsidR="00261D9E" w:rsidRDefault="00261D9E" w:rsidP="00261D9E">
            <w:pPr>
              <w:pStyle w:val="TableText"/>
              <w:cnfStyle w:val="000000000000" w:firstRow="0" w:lastRow="0" w:firstColumn="0" w:lastColumn="0" w:oddVBand="0" w:evenVBand="0" w:oddHBand="0" w:evenHBand="0" w:firstRowFirstColumn="0" w:firstRowLastColumn="0" w:lastRowFirstColumn="0" w:lastRowLastColumn="0"/>
              <w:rPr>
                <w:rFonts w:cs="Arial"/>
                <w:color w:val="000000"/>
              </w:rPr>
            </w:pPr>
            <w:r w:rsidRPr="00EB7022">
              <w:rPr>
                <w:rFonts w:cs="Arial"/>
                <w:color w:val="000000"/>
              </w:rPr>
              <w:t>Department of Training and Workforce Development</w:t>
            </w:r>
          </w:p>
        </w:tc>
        <w:tc>
          <w:tcPr>
            <w:tcW w:w="1262" w:type="dxa"/>
            <w:vAlign w:val="center"/>
          </w:tcPr>
          <w:p w14:paraId="5094FEB2" w14:textId="77777777" w:rsidR="00261D9E" w:rsidRDefault="00261D9E" w:rsidP="00261D9E">
            <w:pPr>
              <w:pStyle w:val="TableTex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2015</w:t>
            </w:r>
          </w:p>
        </w:tc>
      </w:tr>
      <w:tr w:rsidR="00261D9E" w14:paraId="14FBF75C" w14:textId="77777777" w:rsidTr="00261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Align w:val="center"/>
          </w:tcPr>
          <w:p w14:paraId="1F8A83E3" w14:textId="77777777" w:rsidR="00261D9E" w:rsidRDefault="00261D9E" w:rsidP="00261D9E">
            <w:pPr>
              <w:pStyle w:val="TableText"/>
              <w:rPr>
                <w:rFonts w:cs="Arial"/>
                <w:b w:val="0"/>
                <w:bCs/>
                <w:color w:val="000000"/>
              </w:rPr>
            </w:pPr>
            <w:r>
              <w:rPr>
                <w:rFonts w:cs="Arial"/>
                <w:b w:val="0"/>
                <w:bCs/>
                <w:color w:val="000000"/>
              </w:rPr>
              <w:t>Pilbara Workforce Development Plan 2013-2016</w:t>
            </w:r>
          </w:p>
        </w:tc>
        <w:tc>
          <w:tcPr>
            <w:tcW w:w="3544" w:type="dxa"/>
            <w:vAlign w:val="center"/>
          </w:tcPr>
          <w:p w14:paraId="1FF26353" w14:textId="77777777" w:rsidR="00261D9E" w:rsidRDefault="00261D9E" w:rsidP="00261D9E">
            <w:pPr>
              <w:pStyle w:val="TableText"/>
              <w:cnfStyle w:val="000000100000" w:firstRow="0" w:lastRow="0" w:firstColumn="0" w:lastColumn="0" w:oddVBand="0" w:evenVBand="0" w:oddHBand="1" w:evenHBand="0" w:firstRowFirstColumn="0" w:firstRowLastColumn="0" w:lastRowFirstColumn="0" w:lastRowLastColumn="0"/>
              <w:rPr>
                <w:rFonts w:cs="Arial"/>
                <w:color w:val="000000"/>
              </w:rPr>
            </w:pPr>
            <w:r w:rsidRPr="00EB7022">
              <w:rPr>
                <w:rFonts w:cs="Arial"/>
                <w:color w:val="000000"/>
              </w:rPr>
              <w:t>Department of Training and Workforce Development</w:t>
            </w:r>
          </w:p>
        </w:tc>
        <w:tc>
          <w:tcPr>
            <w:tcW w:w="1262" w:type="dxa"/>
            <w:vAlign w:val="center"/>
          </w:tcPr>
          <w:p w14:paraId="30D9220C" w14:textId="77777777" w:rsidR="00261D9E" w:rsidRDefault="00261D9E" w:rsidP="00261D9E">
            <w:pPr>
              <w:pStyle w:val="TableTex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2013</w:t>
            </w:r>
          </w:p>
        </w:tc>
      </w:tr>
      <w:tr w:rsidR="00261D9E" w14:paraId="7FE1B7CA" w14:textId="77777777" w:rsidTr="00261D9E">
        <w:tc>
          <w:tcPr>
            <w:cnfStyle w:val="001000000000" w:firstRow="0" w:lastRow="0" w:firstColumn="1" w:lastColumn="0" w:oddVBand="0" w:evenVBand="0" w:oddHBand="0" w:evenHBand="0" w:firstRowFirstColumn="0" w:firstRowLastColumn="0" w:lastRowFirstColumn="0" w:lastRowLastColumn="0"/>
            <w:tcW w:w="4815" w:type="dxa"/>
            <w:vAlign w:val="center"/>
          </w:tcPr>
          <w:p w14:paraId="214D4576" w14:textId="77777777" w:rsidR="00261D9E" w:rsidRDefault="00261D9E" w:rsidP="00261D9E">
            <w:pPr>
              <w:pStyle w:val="TableText"/>
              <w:rPr>
                <w:rFonts w:cs="Arial"/>
                <w:b w:val="0"/>
                <w:bCs/>
                <w:color w:val="000000"/>
              </w:rPr>
            </w:pPr>
            <w:r>
              <w:rPr>
                <w:rFonts w:cs="Arial"/>
                <w:b w:val="0"/>
                <w:bCs/>
                <w:color w:val="000000"/>
              </w:rPr>
              <w:t>Skilling WA – A workforce development plan for Western Australia</w:t>
            </w:r>
          </w:p>
        </w:tc>
        <w:tc>
          <w:tcPr>
            <w:tcW w:w="3544" w:type="dxa"/>
            <w:vAlign w:val="center"/>
          </w:tcPr>
          <w:p w14:paraId="2C6E8CD2" w14:textId="77777777" w:rsidR="00261D9E" w:rsidRDefault="00261D9E" w:rsidP="00261D9E">
            <w:pPr>
              <w:pStyle w:val="TableTex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Department of Training and Workforce Development</w:t>
            </w:r>
          </w:p>
        </w:tc>
        <w:tc>
          <w:tcPr>
            <w:tcW w:w="1262" w:type="dxa"/>
            <w:vAlign w:val="center"/>
          </w:tcPr>
          <w:p w14:paraId="281D1CAC" w14:textId="77777777" w:rsidR="00261D9E" w:rsidRDefault="00261D9E" w:rsidP="00261D9E">
            <w:pPr>
              <w:pStyle w:val="TableTex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2014</w:t>
            </w:r>
          </w:p>
        </w:tc>
      </w:tr>
      <w:tr w:rsidR="00261D9E" w14:paraId="449B0081" w14:textId="77777777" w:rsidTr="00261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Align w:val="center"/>
          </w:tcPr>
          <w:p w14:paraId="1154C143" w14:textId="77777777" w:rsidR="00261D9E" w:rsidRPr="008E45D1" w:rsidRDefault="00261D9E" w:rsidP="00261D9E">
            <w:pPr>
              <w:pStyle w:val="TableText"/>
              <w:rPr>
                <w:rFonts w:cs="Arial"/>
                <w:b w:val="0"/>
                <w:bCs/>
              </w:rPr>
            </w:pPr>
            <w:r w:rsidRPr="008E45D1">
              <w:rPr>
                <w:rFonts w:cs="Arial"/>
                <w:b w:val="0"/>
                <w:bCs/>
                <w:color w:val="000000"/>
              </w:rPr>
              <w:t xml:space="preserve">The Future of Work: </w:t>
            </w:r>
            <w:r>
              <w:rPr>
                <w:rFonts w:cs="Arial"/>
                <w:b w:val="0"/>
                <w:bCs/>
                <w:color w:val="000000"/>
              </w:rPr>
              <w:t>T</w:t>
            </w:r>
            <w:r w:rsidRPr="008E45D1">
              <w:rPr>
                <w:rFonts w:cs="Arial"/>
                <w:b w:val="0"/>
                <w:bCs/>
                <w:color w:val="000000"/>
              </w:rPr>
              <w:t>he Changing Skills Landscape for Miners - A Report for the Minerals Council of Australia</w:t>
            </w:r>
          </w:p>
        </w:tc>
        <w:tc>
          <w:tcPr>
            <w:tcW w:w="3544" w:type="dxa"/>
            <w:vAlign w:val="center"/>
          </w:tcPr>
          <w:p w14:paraId="7B86EAFF" w14:textId="77777777" w:rsidR="00261D9E" w:rsidRPr="008E45D1" w:rsidRDefault="00261D9E" w:rsidP="00261D9E">
            <w:pPr>
              <w:pStyle w:val="TableText"/>
              <w:cnfStyle w:val="000000100000" w:firstRow="0" w:lastRow="0" w:firstColumn="0" w:lastColumn="0" w:oddVBand="0" w:evenVBand="0" w:oddHBand="1" w:evenHBand="0" w:firstRowFirstColumn="0" w:firstRowLastColumn="0" w:lastRowFirstColumn="0" w:lastRowLastColumn="0"/>
              <w:rPr>
                <w:rFonts w:cs="Arial"/>
              </w:rPr>
            </w:pPr>
            <w:r w:rsidRPr="008E45D1">
              <w:rPr>
                <w:rFonts w:cs="Arial"/>
                <w:color w:val="000000"/>
              </w:rPr>
              <w:t>Ernest and Young / Minerals Council</w:t>
            </w:r>
          </w:p>
        </w:tc>
        <w:tc>
          <w:tcPr>
            <w:tcW w:w="1262" w:type="dxa"/>
            <w:vAlign w:val="center"/>
          </w:tcPr>
          <w:p w14:paraId="01F239AB" w14:textId="77777777" w:rsidR="00261D9E" w:rsidRPr="008E45D1" w:rsidRDefault="00261D9E" w:rsidP="00261D9E">
            <w:pPr>
              <w:pStyle w:val="TableText"/>
              <w:cnfStyle w:val="000000100000" w:firstRow="0" w:lastRow="0" w:firstColumn="0" w:lastColumn="0" w:oddVBand="0" w:evenVBand="0" w:oddHBand="1" w:evenHBand="0" w:firstRowFirstColumn="0" w:firstRowLastColumn="0" w:lastRowFirstColumn="0" w:lastRowLastColumn="0"/>
              <w:rPr>
                <w:rFonts w:cs="Arial"/>
              </w:rPr>
            </w:pPr>
            <w:r w:rsidRPr="008E45D1">
              <w:rPr>
                <w:rFonts w:cs="Arial"/>
                <w:color w:val="000000"/>
              </w:rPr>
              <w:t>2019</w:t>
            </w:r>
          </w:p>
        </w:tc>
      </w:tr>
      <w:tr w:rsidR="00261D9E" w14:paraId="2D920331" w14:textId="77777777" w:rsidTr="00261D9E">
        <w:tc>
          <w:tcPr>
            <w:cnfStyle w:val="001000000000" w:firstRow="0" w:lastRow="0" w:firstColumn="1" w:lastColumn="0" w:oddVBand="0" w:evenVBand="0" w:oddHBand="0" w:evenHBand="0" w:firstRowFirstColumn="0" w:firstRowLastColumn="0" w:lastRowFirstColumn="0" w:lastRowLastColumn="0"/>
            <w:tcW w:w="4815" w:type="dxa"/>
            <w:vAlign w:val="center"/>
          </w:tcPr>
          <w:p w14:paraId="096F353A" w14:textId="77777777" w:rsidR="00261D9E" w:rsidRPr="008E45D1" w:rsidRDefault="00261D9E" w:rsidP="00261D9E">
            <w:pPr>
              <w:pStyle w:val="TableText"/>
              <w:rPr>
                <w:rFonts w:cs="Arial"/>
                <w:b w:val="0"/>
                <w:bCs/>
              </w:rPr>
            </w:pPr>
            <w:r w:rsidRPr="008E45D1">
              <w:rPr>
                <w:rFonts w:cs="Arial"/>
                <w:b w:val="0"/>
                <w:bCs/>
                <w:color w:val="000000"/>
              </w:rPr>
              <w:t>Battery of the Nation</w:t>
            </w:r>
          </w:p>
        </w:tc>
        <w:tc>
          <w:tcPr>
            <w:tcW w:w="3544" w:type="dxa"/>
            <w:vAlign w:val="center"/>
          </w:tcPr>
          <w:p w14:paraId="0A59ACD1" w14:textId="77777777" w:rsidR="00261D9E" w:rsidRPr="008E45D1" w:rsidRDefault="00261D9E" w:rsidP="00261D9E">
            <w:pPr>
              <w:pStyle w:val="TableText"/>
              <w:cnfStyle w:val="000000000000" w:firstRow="0" w:lastRow="0" w:firstColumn="0" w:lastColumn="0" w:oddVBand="0" w:evenVBand="0" w:oddHBand="0" w:evenHBand="0" w:firstRowFirstColumn="0" w:firstRowLastColumn="0" w:lastRowFirstColumn="0" w:lastRowLastColumn="0"/>
              <w:rPr>
                <w:rFonts w:cs="Arial"/>
              </w:rPr>
            </w:pPr>
            <w:r w:rsidRPr="008E45D1">
              <w:rPr>
                <w:rFonts w:cs="Arial"/>
                <w:color w:val="000000"/>
              </w:rPr>
              <w:t>Hydro Tasmania</w:t>
            </w:r>
          </w:p>
        </w:tc>
        <w:tc>
          <w:tcPr>
            <w:tcW w:w="1262" w:type="dxa"/>
            <w:vAlign w:val="center"/>
          </w:tcPr>
          <w:p w14:paraId="2D4790FD" w14:textId="77777777" w:rsidR="00261D9E" w:rsidRPr="008E45D1" w:rsidRDefault="00261D9E" w:rsidP="00261D9E">
            <w:pPr>
              <w:pStyle w:val="TableText"/>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rPr>
              <w:t>2019</w:t>
            </w:r>
          </w:p>
        </w:tc>
      </w:tr>
      <w:tr w:rsidR="00261D9E" w14:paraId="39AEC1E7" w14:textId="77777777" w:rsidTr="00261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Align w:val="center"/>
          </w:tcPr>
          <w:p w14:paraId="55913B00" w14:textId="77777777" w:rsidR="00261D9E" w:rsidRPr="008E45D1" w:rsidRDefault="00261D9E" w:rsidP="00261D9E">
            <w:pPr>
              <w:pStyle w:val="TableText"/>
              <w:rPr>
                <w:rFonts w:cs="Arial"/>
                <w:b w:val="0"/>
                <w:bCs/>
              </w:rPr>
            </w:pPr>
            <w:r w:rsidRPr="008E45D1">
              <w:rPr>
                <w:rFonts w:cs="Arial"/>
                <w:b w:val="0"/>
                <w:bCs/>
                <w:color w:val="000000"/>
              </w:rPr>
              <w:t>Tasmania’s Mineral Industry</w:t>
            </w:r>
          </w:p>
        </w:tc>
        <w:tc>
          <w:tcPr>
            <w:tcW w:w="3544" w:type="dxa"/>
            <w:vAlign w:val="center"/>
          </w:tcPr>
          <w:p w14:paraId="3F9164CA" w14:textId="77777777" w:rsidR="00261D9E" w:rsidRPr="008E45D1" w:rsidRDefault="00261D9E" w:rsidP="00261D9E">
            <w:pPr>
              <w:pStyle w:val="TableText"/>
              <w:cnfStyle w:val="000000100000" w:firstRow="0" w:lastRow="0" w:firstColumn="0" w:lastColumn="0" w:oddVBand="0" w:evenVBand="0" w:oddHBand="1" w:evenHBand="0" w:firstRowFirstColumn="0" w:firstRowLastColumn="0" w:lastRowFirstColumn="0" w:lastRowLastColumn="0"/>
              <w:rPr>
                <w:rFonts w:cs="Arial"/>
              </w:rPr>
            </w:pPr>
            <w:r w:rsidRPr="008E45D1">
              <w:rPr>
                <w:rFonts w:cs="Arial"/>
                <w:color w:val="000000"/>
              </w:rPr>
              <w:t>Mineral Resources Tasmania</w:t>
            </w:r>
          </w:p>
        </w:tc>
        <w:tc>
          <w:tcPr>
            <w:tcW w:w="1262" w:type="dxa"/>
            <w:vAlign w:val="center"/>
          </w:tcPr>
          <w:p w14:paraId="47D4618A" w14:textId="77777777" w:rsidR="00261D9E" w:rsidRPr="008E45D1" w:rsidRDefault="00261D9E" w:rsidP="00261D9E">
            <w:pPr>
              <w:pStyle w:val="TableText"/>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rPr>
              <w:t>2019</w:t>
            </w:r>
          </w:p>
        </w:tc>
      </w:tr>
      <w:tr w:rsidR="00261D9E" w14:paraId="6D20DD3D" w14:textId="77777777" w:rsidTr="00261D9E">
        <w:tc>
          <w:tcPr>
            <w:cnfStyle w:val="001000000000" w:firstRow="0" w:lastRow="0" w:firstColumn="1" w:lastColumn="0" w:oddVBand="0" w:evenVBand="0" w:oddHBand="0" w:evenHBand="0" w:firstRowFirstColumn="0" w:firstRowLastColumn="0" w:lastRowFirstColumn="0" w:lastRowLastColumn="0"/>
            <w:tcW w:w="4815" w:type="dxa"/>
            <w:vAlign w:val="center"/>
          </w:tcPr>
          <w:p w14:paraId="00517B6F" w14:textId="77777777" w:rsidR="00261D9E" w:rsidRPr="008E45D1" w:rsidRDefault="00261D9E" w:rsidP="00261D9E">
            <w:pPr>
              <w:pStyle w:val="TableText"/>
              <w:rPr>
                <w:rFonts w:cs="Arial"/>
                <w:b w:val="0"/>
                <w:bCs/>
              </w:rPr>
            </w:pPr>
            <w:r w:rsidRPr="008E45D1">
              <w:rPr>
                <w:rFonts w:cs="Arial"/>
                <w:b w:val="0"/>
                <w:bCs/>
                <w:color w:val="000000"/>
              </w:rPr>
              <w:lastRenderedPageBreak/>
              <w:t>VOCSTATS</w:t>
            </w:r>
          </w:p>
        </w:tc>
        <w:tc>
          <w:tcPr>
            <w:tcW w:w="3544" w:type="dxa"/>
            <w:vAlign w:val="center"/>
          </w:tcPr>
          <w:p w14:paraId="50F913DC" w14:textId="77777777" w:rsidR="00261D9E" w:rsidRPr="008E45D1" w:rsidRDefault="00261D9E" w:rsidP="00261D9E">
            <w:pPr>
              <w:pStyle w:val="TableText"/>
              <w:cnfStyle w:val="000000000000" w:firstRow="0" w:lastRow="0" w:firstColumn="0" w:lastColumn="0" w:oddVBand="0" w:evenVBand="0" w:oddHBand="0" w:evenHBand="0" w:firstRowFirstColumn="0" w:firstRowLastColumn="0" w:lastRowFirstColumn="0" w:lastRowLastColumn="0"/>
              <w:rPr>
                <w:rFonts w:cs="Arial"/>
              </w:rPr>
            </w:pPr>
            <w:r w:rsidRPr="008E45D1">
              <w:rPr>
                <w:rFonts w:cs="Arial"/>
                <w:color w:val="000000"/>
              </w:rPr>
              <w:t>N</w:t>
            </w:r>
            <w:r>
              <w:rPr>
                <w:rFonts w:cs="Arial"/>
                <w:color w:val="000000"/>
              </w:rPr>
              <w:t xml:space="preserve">ational </w:t>
            </w:r>
            <w:r w:rsidRPr="008E45D1">
              <w:rPr>
                <w:rFonts w:cs="Arial"/>
                <w:color w:val="000000"/>
              </w:rPr>
              <w:t>C</w:t>
            </w:r>
            <w:r>
              <w:rPr>
                <w:rFonts w:cs="Arial"/>
                <w:color w:val="000000"/>
              </w:rPr>
              <w:t xml:space="preserve">entre for </w:t>
            </w:r>
            <w:r w:rsidRPr="008E45D1">
              <w:rPr>
                <w:rFonts w:cs="Arial"/>
                <w:color w:val="000000"/>
              </w:rPr>
              <w:t>V</w:t>
            </w:r>
            <w:r>
              <w:rPr>
                <w:rFonts w:cs="Arial"/>
                <w:color w:val="000000"/>
              </w:rPr>
              <w:t xml:space="preserve">ocational </w:t>
            </w:r>
            <w:r w:rsidRPr="008E45D1">
              <w:rPr>
                <w:rFonts w:cs="Arial"/>
                <w:color w:val="000000"/>
              </w:rPr>
              <w:t>E</w:t>
            </w:r>
            <w:r>
              <w:rPr>
                <w:rFonts w:cs="Arial"/>
                <w:color w:val="000000"/>
              </w:rPr>
              <w:t xml:space="preserve">ducation </w:t>
            </w:r>
            <w:r w:rsidRPr="008E45D1">
              <w:rPr>
                <w:rFonts w:cs="Arial"/>
                <w:color w:val="000000"/>
              </w:rPr>
              <w:t>R</w:t>
            </w:r>
            <w:r>
              <w:rPr>
                <w:rFonts w:cs="Arial"/>
                <w:color w:val="000000"/>
              </w:rPr>
              <w:t>esearch</w:t>
            </w:r>
          </w:p>
        </w:tc>
        <w:tc>
          <w:tcPr>
            <w:tcW w:w="1262" w:type="dxa"/>
            <w:vAlign w:val="center"/>
          </w:tcPr>
          <w:p w14:paraId="7E7BC426" w14:textId="77777777" w:rsidR="00261D9E" w:rsidRPr="008E45D1" w:rsidRDefault="00261D9E" w:rsidP="00261D9E">
            <w:pPr>
              <w:pStyle w:val="TableText"/>
              <w:cnfStyle w:val="000000000000" w:firstRow="0" w:lastRow="0" w:firstColumn="0" w:lastColumn="0" w:oddVBand="0" w:evenVBand="0" w:oddHBand="0" w:evenHBand="0" w:firstRowFirstColumn="0" w:firstRowLastColumn="0" w:lastRowFirstColumn="0" w:lastRowLastColumn="0"/>
              <w:rPr>
                <w:rFonts w:cs="Arial"/>
              </w:rPr>
            </w:pPr>
            <w:r w:rsidRPr="008E45D1">
              <w:rPr>
                <w:rFonts w:cs="Arial"/>
                <w:color w:val="000000"/>
              </w:rPr>
              <w:t>2019</w:t>
            </w:r>
          </w:p>
        </w:tc>
      </w:tr>
      <w:tr w:rsidR="00261D9E" w14:paraId="53578074" w14:textId="77777777" w:rsidTr="00261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Align w:val="center"/>
          </w:tcPr>
          <w:p w14:paraId="20D45BAE" w14:textId="77777777" w:rsidR="00261D9E" w:rsidRPr="008E45D1" w:rsidRDefault="00261D9E" w:rsidP="00261D9E">
            <w:pPr>
              <w:pStyle w:val="TableText"/>
              <w:rPr>
                <w:rFonts w:cs="Arial"/>
                <w:b w:val="0"/>
                <w:bCs/>
              </w:rPr>
            </w:pPr>
            <w:r w:rsidRPr="008E45D1">
              <w:rPr>
                <w:rFonts w:cs="Arial"/>
                <w:b w:val="0"/>
                <w:bCs/>
                <w:color w:val="000000"/>
              </w:rPr>
              <w:t>Tasmanian Delivers</w:t>
            </w:r>
          </w:p>
        </w:tc>
        <w:tc>
          <w:tcPr>
            <w:tcW w:w="3544" w:type="dxa"/>
            <w:vAlign w:val="center"/>
          </w:tcPr>
          <w:p w14:paraId="0DCDF90E" w14:textId="77777777" w:rsidR="00261D9E" w:rsidRPr="008E45D1" w:rsidRDefault="00261D9E" w:rsidP="00261D9E">
            <w:pPr>
              <w:pStyle w:val="TableText"/>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rPr>
              <w:t>Office of the Coordinator-General</w:t>
            </w:r>
          </w:p>
        </w:tc>
        <w:tc>
          <w:tcPr>
            <w:tcW w:w="1262" w:type="dxa"/>
            <w:vAlign w:val="center"/>
          </w:tcPr>
          <w:p w14:paraId="31D85592" w14:textId="77777777" w:rsidR="00261D9E" w:rsidRPr="008E45D1" w:rsidRDefault="00261D9E" w:rsidP="00261D9E">
            <w:pPr>
              <w:pStyle w:val="TableText"/>
              <w:cnfStyle w:val="000000100000" w:firstRow="0" w:lastRow="0" w:firstColumn="0" w:lastColumn="0" w:oddVBand="0" w:evenVBand="0" w:oddHBand="1" w:evenHBand="0" w:firstRowFirstColumn="0" w:firstRowLastColumn="0" w:lastRowFirstColumn="0" w:lastRowLastColumn="0"/>
              <w:rPr>
                <w:rFonts w:cs="Arial"/>
              </w:rPr>
            </w:pPr>
            <w:r w:rsidRPr="008E45D1">
              <w:rPr>
                <w:rFonts w:cs="Arial"/>
                <w:color w:val="000000"/>
              </w:rPr>
              <w:t>2019</w:t>
            </w:r>
          </w:p>
        </w:tc>
      </w:tr>
      <w:tr w:rsidR="00261D9E" w14:paraId="753E2F7C" w14:textId="77777777" w:rsidTr="00261D9E">
        <w:tc>
          <w:tcPr>
            <w:cnfStyle w:val="001000000000" w:firstRow="0" w:lastRow="0" w:firstColumn="1" w:lastColumn="0" w:oddVBand="0" w:evenVBand="0" w:oddHBand="0" w:evenHBand="0" w:firstRowFirstColumn="0" w:firstRowLastColumn="0" w:lastRowFirstColumn="0" w:lastRowLastColumn="0"/>
            <w:tcW w:w="4815" w:type="dxa"/>
            <w:vAlign w:val="center"/>
          </w:tcPr>
          <w:p w14:paraId="5EE7C7BE" w14:textId="77777777" w:rsidR="00261D9E" w:rsidRPr="008E45D1" w:rsidRDefault="00261D9E" w:rsidP="00261D9E">
            <w:pPr>
              <w:pStyle w:val="TableText"/>
              <w:rPr>
                <w:rFonts w:cs="Arial"/>
                <w:b w:val="0"/>
                <w:bCs/>
              </w:rPr>
            </w:pPr>
            <w:r w:rsidRPr="008E45D1">
              <w:rPr>
                <w:rFonts w:cs="Arial"/>
                <w:b w:val="0"/>
                <w:bCs/>
                <w:color w:val="000000"/>
              </w:rPr>
              <w:t>Industry Skills Forecast and Proposed Schedule of Work - Mining, Drilling and Civil Infrastructure</w:t>
            </w:r>
          </w:p>
        </w:tc>
        <w:tc>
          <w:tcPr>
            <w:tcW w:w="3544" w:type="dxa"/>
            <w:vAlign w:val="center"/>
          </w:tcPr>
          <w:p w14:paraId="7CE6A98C" w14:textId="77777777" w:rsidR="00261D9E" w:rsidRPr="008E45D1" w:rsidRDefault="00261D9E" w:rsidP="00261D9E">
            <w:pPr>
              <w:pStyle w:val="TableText"/>
              <w:cnfStyle w:val="000000000000" w:firstRow="0" w:lastRow="0" w:firstColumn="0" w:lastColumn="0" w:oddVBand="0" w:evenVBand="0" w:oddHBand="0" w:evenHBand="0" w:firstRowFirstColumn="0" w:firstRowLastColumn="0" w:lastRowFirstColumn="0" w:lastRowLastColumn="0"/>
              <w:rPr>
                <w:rFonts w:cs="Arial"/>
              </w:rPr>
            </w:pPr>
            <w:r w:rsidRPr="008E45D1">
              <w:rPr>
                <w:rFonts w:cs="Arial"/>
                <w:color w:val="000000"/>
              </w:rPr>
              <w:t>PWC</w:t>
            </w:r>
          </w:p>
        </w:tc>
        <w:tc>
          <w:tcPr>
            <w:tcW w:w="1262" w:type="dxa"/>
            <w:vAlign w:val="center"/>
          </w:tcPr>
          <w:p w14:paraId="380364C8" w14:textId="77777777" w:rsidR="00261D9E" w:rsidRPr="008E45D1" w:rsidRDefault="00261D9E" w:rsidP="00261D9E">
            <w:pPr>
              <w:pStyle w:val="TableText"/>
              <w:cnfStyle w:val="000000000000" w:firstRow="0" w:lastRow="0" w:firstColumn="0" w:lastColumn="0" w:oddVBand="0" w:evenVBand="0" w:oddHBand="0" w:evenHBand="0" w:firstRowFirstColumn="0" w:firstRowLastColumn="0" w:lastRowFirstColumn="0" w:lastRowLastColumn="0"/>
              <w:rPr>
                <w:rFonts w:cs="Arial"/>
              </w:rPr>
            </w:pPr>
            <w:r w:rsidRPr="008E45D1">
              <w:rPr>
                <w:rFonts w:cs="Arial"/>
                <w:color w:val="000000"/>
              </w:rPr>
              <w:t>2018</w:t>
            </w:r>
          </w:p>
        </w:tc>
      </w:tr>
      <w:tr w:rsidR="00261D9E" w14:paraId="48E37D50" w14:textId="77777777" w:rsidTr="00261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Align w:val="center"/>
          </w:tcPr>
          <w:p w14:paraId="6DB09849" w14:textId="77777777" w:rsidR="00261D9E" w:rsidRPr="008E45D1" w:rsidRDefault="00261D9E" w:rsidP="00261D9E">
            <w:pPr>
              <w:pStyle w:val="TableText"/>
              <w:rPr>
                <w:rFonts w:cs="Arial"/>
                <w:b w:val="0"/>
                <w:bCs/>
              </w:rPr>
            </w:pPr>
            <w:r w:rsidRPr="008E45D1">
              <w:rPr>
                <w:rFonts w:cs="Arial"/>
                <w:b w:val="0"/>
                <w:bCs/>
                <w:color w:val="000000"/>
              </w:rPr>
              <w:t>Tasmania Report 2018 TCCI</w:t>
            </w:r>
          </w:p>
        </w:tc>
        <w:tc>
          <w:tcPr>
            <w:tcW w:w="3544" w:type="dxa"/>
            <w:vAlign w:val="center"/>
          </w:tcPr>
          <w:p w14:paraId="2ACF2C9F" w14:textId="77777777" w:rsidR="00261D9E" w:rsidRPr="008E45D1" w:rsidRDefault="00261D9E" w:rsidP="00261D9E">
            <w:pPr>
              <w:pStyle w:val="TableText"/>
              <w:cnfStyle w:val="000000100000" w:firstRow="0" w:lastRow="0" w:firstColumn="0" w:lastColumn="0" w:oddVBand="0" w:evenVBand="0" w:oddHBand="1" w:evenHBand="0" w:firstRowFirstColumn="0" w:firstRowLastColumn="0" w:lastRowFirstColumn="0" w:lastRowLastColumn="0"/>
              <w:rPr>
                <w:rFonts w:cs="Arial"/>
              </w:rPr>
            </w:pPr>
            <w:r w:rsidRPr="008E45D1">
              <w:rPr>
                <w:rFonts w:cs="Arial"/>
                <w:color w:val="000000"/>
              </w:rPr>
              <w:t>T</w:t>
            </w:r>
            <w:r>
              <w:rPr>
                <w:rFonts w:cs="Arial"/>
                <w:color w:val="000000"/>
              </w:rPr>
              <w:t>asmanian Chamber of Commerce and Industry</w:t>
            </w:r>
          </w:p>
        </w:tc>
        <w:tc>
          <w:tcPr>
            <w:tcW w:w="1262" w:type="dxa"/>
            <w:vAlign w:val="center"/>
          </w:tcPr>
          <w:p w14:paraId="68EF8C3A" w14:textId="77777777" w:rsidR="00261D9E" w:rsidRPr="008E45D1" w:rsidRDefault="00261D9E" w:rsidP="00261D9E">
            <w:pPr>
              <w:pStyle w:val="TableText"/>
              <w:cnfStyle w:val="000000100000" w:firstRow="0" w:lastRow="0" w:firstColumn="0" w:lastColumn="0" w:oddVBand="0" w:evenVBand="0" w:oddHBand="1" w:evenHBand="0" w:firstRowFirstColumn="0" w:firstRowLastColumn="0" w:lastRowFirstColumn="0" w:lastRowLastColumn="0"/>
              <w:rPr>
                <w:rFonts w:cs="Arial"/>
              </w:rPr>
            </w:pPr>
            <w:r w:rsidRPr="008E45D1">
              <w:rPr>
                <w:rFonts w:cs="Arial"/>
                <w:color w:val="000000"/>
              </w:rPr>
              <w:t>2018</w:t>
            </w:r>
          </w:p>
        </w:tc>
      </w:tr>
      <w:tr w:rsidR="00261D9E" w14:paraId="07DE9D41" w14:textId="77777777" w:rsidTr="00261D9E">
        <w:tc>
          <w:tcPr>
            <w:cnfStyle w:val="001000000000" w:firstRow="0" w:lastRow="0" w:firstColumn="1" w:lastColumn="0" w:oddVBand="0" w:evenVBand="0" w:oddHBand="0" w:evenHBand="0" w:firstRowFirstColumn="0" w:firstRowLastColumn="0" w:lastRowFirstColumn="0" w:lastRowLastColumn="0"/>
            <w:tcW w:w="4815" w:type="dxa"/>
            <w:vAlign w:val="center"/>
          </w:tcPr>
          <w:p w14:paraId="5A4B43A6" w14:textId="77777777" w:rsidR="00261D9E" w:rsidRDefault="00261D9E" w:rsidP="00261D9E">
            <w:pPr>
              <w:pStyle w:val="TableText"/>
              <w:rPr>
                <w:rFonts w:cs="Arial"/>
                <w:b w:val="0"/>
                <w:bCs/>
                <w:color w:val="000000"/>
              </w:rPr>
            </w:pPr>
            <w:r>
              <w:rPr>
                <w:rFonts w:cs="Arial"/>
                <w:b w:val="0"/>
                <w:bCs/>
                <w:color w:val="000000"/>
              </w:rPr>
              <w:t>Tasmanian Minerals Council – Survey 2010 and 2011</w:t>
            </w:r>
          </w:p>
        </w:tc>
        <w:tc>
          <w:tcPr>
            <w:tcW w:w="3544" w:type="dxa"/>
            <w:vAlign w:val="center"/>
          </w:tcPr>
          <w:p w14:paraId="146F0C20" w14:textId="77777777" w:rsidR="00261D9E" w:rsidRDefault="00261D9E" w:rsidP="00261D9E">
            <w:pPr>
              <w:pStyle w:val="TableTex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Tasmanian Minerals Council</w:t>
            </w:r>
          </w:p>
        </w:tc>
        <w:tc>
          <w:tcPr>
            <w:tcW w:w="1262" w:type="dxa"/>
            <w:vAlign w:val="center"/>
          </w:tcPr>
          <w:p w14:paraId="0330F2C8" w14:textId="77777777" w:rsidR="00261D9E" w:rsidRDefault="00261D9E" w:rsidP="00261D9E">
            <w:pPr>
              <w:pStyle w:val="TableTex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2012</w:t>
            </w:r>
          </w:p>
        </w:tc>
      </w:tr>
      <w:tr w:rsidR="00261D9E" w14:paraId="470CC0B8" w14:textId="77777777" w:rsidTr="00261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Align w:val="center"/>
          </w:tcPr>
          <w:p w14:paraId="02437BBE" w14:textId="77777777" w:rsidR="00261D9E" w:rsidRPr="008E45D1" w:rsidRDefault="00261D9E" w:rsidP="00261D9E">
            <w:pPr>
              <w:pStyle w:val="TableText"/>
              <w:rPr>
                <w:rFonts w:cs="Arial"/>
                <w:b w:val="0"/>
                <w:bCs/>
              </w:rPr>
            </w:pPr>
            <w:r w:rsidRPr="008E45D1">
              <w:rPr>
                <w:rFonts w:cs="Arial"/>
                <w:b w:val="0"/>
                <w:bCs/>
                <w:color w:val="000000"/>
              </w:rPr>
              <w:t xml:space="preserve">Savage River Mine's </w:t>
            </w:r>
            <w:r>
              <w:rPr>
                <w:rFonts w:cs="Arial"/>
                <w:b w:val="0"/>
                <w:bCs/>
                <w:color w:val="000000"/>
              </w:rPr>
              <w:t>M</w:t>
            </w:r>
            <w:r w:rsidRPr="008E45D1">
              <w:rPr>
                <w:rFonts w:cs="Arial"/>
                <w:b w:val="0"/>
                <w:bCs/>
                <w:color w:val="000000"/>
              </w:rPr>
              <w:t xml:space="preserve">agnetite </w:t>
            </w:r>
            <w:r>
              <w:rPr>
                <w:rFonts w:cs="Arial"/>
                <w:b w:val="0"/>
                <w:bCs/>
                <w:color w:val="000000"/>
              </w:rPr>
              <w:t>R</w:t>
            </w:r>
            <w:r w:rsidRPr="008E45D1">
              <w:rPr>
                <w:rFonts w:cs="Arial"/>
                <w:b w:val="0"/>
                <w:bCs/>
                <w:color w:val="000000"/>
              </w:rPr>
              <w:t xml:space="preserve">esource </w:t>
            </w:r>
            <w:r>
              <w:rPr>
                <w:rFonts w:cs="Arial"/>
                <w:b w:val="0"/>
                <w:bCs/>
                <w:color w:val="000000"/>
              </w:rPr>
              <w:t>G</w:t>
            </w:r>
            <w:r w:rsidRPr="008E45D1">
              <w:rPr>
                <w:rFonts w:cs="Arial"/>
                <w:b w:val="0"/>
                <w:bCs/>
                <w:color w:val="000000"/>
              </w:rPr>
              <w:t xml:space="preserve">ets </w:t>
            </w:r>
            <w:r>
              <w:rPr>
                <w:rFonts w:cs="Arial"/>
                <w:b w:val="0"/>
                <w:bCs/>
                <w:color w:val="000000"/>
              </w:rPr>
              <w:t>E</w:t>
            </w:r>
            <w:r w:rsidRPr="008E45D1">
              <w:rPr>
                <w:rFonts w:cs="Arial"/>
                <w:b w:val="0"/>
                <w:bCs/>
                <w:color w:val="000000"/>
              </w:rPr>
              <w:t xml:space="preserve">normous </w:t>
            </w:r>
            <w:r>
              <w:rPr>
                <w:rFonts w:cs="Arial"/>
                <w:b w:val="0"/>
                <w:bCs/>
                <w:color w:val="000000"/>
              </w:rPr>
              <w:t>B</w:t>
            </w:r>
            <w:r w:rsidRPr="008E45D1">
              <w:rPr>
                <w:rFonts w:cs="Arial"/>
                <w:b w:val="0"/>
                <w:bCs/>
                <w:color w:val="000000"/>
              </w:rPr>
              <w:t xml:space="preserve">oost </w:t>
            </w:r>
          </w:p>
        </w:tc>
        <w:tc>
          <w:tcPr>
            <w:tcW w:w="3544" w:type="dxa"/>
            <w:vAlign w:val="center"/>
          </w:tcPr>
          <w:p w14:paraId="71EEEA2C" w14:textId="77777777" w:rsidR="00261D9E" w:rsidRPr="008E45D1" w:rsidRDefault="00261D9E" w:rsidP="00261D9E">
            <w:pPr>
              <w:pStyle w:val="TableText"/>
              <w:cnfStyle w:val="000000100000" w:firstRow="0" w:lastRow="0" w:firstColumn="0" w:lastColumn="0" w:oddVBand="0" w:evenVBand="0" w:oddHBand="1" w:evenHBand="0" w:firstRowFirstColumn="0" w:firstRowLastColumn="0" w:lastRowFirstColumn="0" w:lastRowLastColumn="0"/>
              <w:rPr>
                <w:rFonts w:cs="Arial"/>
              </w:rPr>
            </w:pPr>
            <w:r w:rsidRPr="008E45D1">
              <w:rPr>
                <w:rFonts w:cs="Arial"/>
                <w:color w:val="000000"/>
              </w:rPr>
              <w:t>The Advocate</w:t>
            </w:r>
          </w:p>
        </w:tc>
        <w:tc>
          <w:tcPr>
            <w:tcW w:w="1262" w:type="dxa"/>
            <w:vAlign w:val="center"/>
          </w:tcPr>
          <w:p w14:paraId="759A99D7" w14:textId="77777777" w:rsidR="00261D9E" w:rsidRPr="008E45D1" w:rsidRDefault="00261D9E" w:rsidP="00261D9E">
            <w:pPr>
              <w:pStyle w:val="TableText"/>
              <w:cnfStyle w:val="000000100000" w:firstRow="0" w:lastRow="0" w:firstColumn="0" w:lastColumn="0" w:oddVBand="0" w:evenVBand="0" w:oddHBand="1" w:evenHBand="0" w:firstRowFirstColumn="0" w:firstRowLastColumn="0" w:lastRowFirstColumn="0" w:lastRowLastColumn="0"/>
              <w:rPr>
                <w:rFonts w:cs="Arial"/>
              </w:rPr>
            </w:pPr>
            <w:r w:rsidRPr="008E45D1">
              <w:rPr>
                <w:rFonts w:cs="Arial"/>
                <w:color w:val="000000"/>
              </w:rPr>
              <w:t>2019</w:t>
            </w:r>
          </w:p>
        </w:tc>
      </w:tr>
    </w:tbl>
    <w:p w14:paraId="156BEBF1" w14:textId="77777777" w:rsidR="008920C8" w:rsidRDefault="008920C8" w:rsidP="008920C8"/>
    <w:sectPr w:rsidR="008920C8" w:rsidSect="00C74E25">
      <w:endnotePr>
        <w:numFmt w:val="decimal"/>
      </w:endnotePr>
      <w:pgSz w:w="11899" w:h="16838"/>
      <w:pgMar w:top="1418" w:right="1134" w:bottom="567" w:left="1134" w:header="567" w:footer="85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702EB" w14:textId="77777777" w:rsidR="00EB374B" w:rsidRDefault="00EB374B" w:rsidP="00166D4E">
      <w:pPr>
        <w:spacing w:before="0" w:after="0"/>
      </w:pPr>
      <w:r>
        <w:separator/>
      </w:r>
    </w:p>
  </w:endnote>
  <w:endnote w:type="continuationSeparator" w:id="0">
    <w:p w14:paraId="4746A724" w14:textId="77777777" w:rsidR="00EB374B" w:rsidRDefault="00EB374B" w:rsidP="00166D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Nova-Light">
    <w:altName w:val="Cambria"/>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D2969" w14:textId="7DBAC4AF" w:rsidR="00BC3377" w:rsidRPr="005729B5" w:rsidRDefault="00BC3377" w:rsidP="00D26818">
    <w:pPr>
      <w:pStyle w:val="Footer"/>
    </w:pPr>
    <w:r>
      <w:rPr>
        <w:lang w:val="en-AU"/>
      </w:rPr>
      <w:drawing>
        <wp:anchor distT="0" distB="0" distL="114300" distR="114300" simplePos="0" relativeHeight="251656192" behindDoc="1" locked="0" layoutInCell="1" allowOverlap="1" wp14:anchorId="6ADEFBD0" wp14:editId="1C417C99">
          <wp:simplePos x="0" y="0"/>
          <wp:positionH relativeFrom="page">
            <wp:posOffset>327025</wp:posOffset>
          </wp:positionH>
          <wp:positionV relativeFrom="line">
            <wp:posOffset>231140</wp:posOffset>
          </wp:positionV>
          <wp:extent cx="371475" cy="381000"/>
          <wp:effectExtent l="0" t="0" r="9525" b="0"/>
          <wp:wrapNone/>
          <wp:docPr id="7" name="Picture 12" descr="Stenning Logo fo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enning Logo fo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t>iv</w:t>
    </w:r>
    <w:r>
      <w:fldChar w:fldCharType="end"/>
    </w:r>
  </w:p>
  <w:p w14:paraId="6DAF73C4" w14:textId="77777777" w:rsidR="00BC3377" w:rsidRDefault="00BC33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560521405"/>
      <w:docPartObj>
        <w:docPartGallery w:val="Page Numbers (Bottom of Page)"/>
        <w:docPartUnique/>
      </w:docPartObj>
    </w:sdtPr>
    <w:sdtEndPr>
      <w:rPr>
        <w:noProof/>
      </w:rPr>
    </w:sdtEndPr>
    <w:sdtContent>
      <w:p w14:paraId="03A06F57" w14:textId="28161EF1" w:rsidR="00BC3377" w:rsidRDefault="00BC3377" w:rsidP="00657450">
        <w:pPr>
          <w:pStyle w:val="Footer"/>
        </w:pPr>
        <w:r>
          <w:rPr>
            <w:noProof w:val="0"/>
          </w:rPr>
          <w:fldChar w:fldCharType="begin"/>
        </w:r>
        <w:r>
          <w:instrText xml:space="preserve"> PAGE   \* MERGEFORMAT </w:instrText>
        </w:r>
        <w:r>
          <w:rPr>
            <w:noProof w:val="0"/>
          </w:rP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9B524" w14:textId="65323501" w:rsidR="00BC3377" w:rsidRDefault="00BC3377" w:rsidP="00657450">
    <w:pPr>
      <w:pStyle w:val="Footer"/>
    </w:pPr>
    <w:r>
      <w:fldChar w:fldCharType="begin"/>
    </w:r>
    <w:r>
      <w:instrText xml:space="preserve"> PAGE   \* MERGEFORMAT </w:instrText>
    </w:r>
    <w:r>
      <w:fldChar w:fldCharType="separate"/>
    </w:r>
    <w:r>
      <w:t>iii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55FF5" w14:textId="77777777" w:rsidR="00EB374B" w:rsidRDefault="00EB374B" w:rsidP="00166D4E">
      <w:pPr>
        <w:spacing w:before="0" w:after="0"/>
      </w:pPr>
      <w:r>
        <w:separator/>
      </w:r>
    </w:p>
  </w:footnote>
  <w:footnote w:type="continuationSeparator" w:id="0">
    <w:p w14:paraId="4F5E79DC" w14:textId="77777777" w:rsidR="00EB374B" w:rsidRDefault="00EB374B" w:rsidP="00166D4E">
      <w:pPr>
        <w:spacing w:before="0" w:after="0"/>
      </w:pPr>
      <w:r>
        <w:continuationSeparator/>
      </w:r>
    </w:p>
  </w:footnote>
  <w:footnote w:id="1">
    <w:p w14:paraId="6A40BAF2" w14:textId="4BF596C1" w:rsidR="00BC3377" w:rsidRDefault="00BC3377" w:rsidP="00177534">
      <w:pPr>
        <w:pStyle w:val="FootnoteText"/>
      </w:pPr>
      <w:r>
        <w:rPr>
          <w:rStyle w:val="FootnoteReference"/>
        </w:rPr>
        <w:footnoteRef/>
      </w:r>
      <w:r>
        <w:t xml:space="preserve"> </w:t>
      </w:r>
      <w:r>
        <w:tab/>
        <w:t>Tasmania Delivers, Office of the Coordinator-General Tasmania, 2019</w:t>
      </w:r>
    </w:p>
  </w:footnote>
  <w:footnote w:id="2">
    <w:p w14:paraId="5050C495" w14:textId="3135C13D" w:rsidR="00BC3377" w:rsidRPr="00C96FA7" w:rsidRDefault="00BC3377" w:rsidP="00177534">
      <w:pPr>
        <w:pStyle w:val="FootnoteText"/>
      </w:pPr>
      <w:r>
        <w:rPr>
          <w:rStyle w:val="FootnoteReference"/>
        </w:rPr>
        <w:footnoteRef/>
      </w:r>
      <w:r>
        <w:t xml:space="preserve"> </w:t>
      </w:r>
      <w:r>
        <w:tab/>
        <w:t>Sector Summary, State Growth, 2014. Found at:</w:t>
      </w:r>
      <w:r w:rsidRPr="00C96FA7">
        <w:t xml:space="preserve"> </w:t>
      </w:r>
      <w:hyperlink r:id="rId1" w:history="1">
        <w:r w:rsidRPr="002C42C2">
          <w:rPr>
            <w:rStyle w:val="Hyperlink"/>
          </w:rPr>
          <w:t>https://www.stategrowth.tas.gov.au/__data/assets/pdf_file/0006/89547/Mining.pdf</w:t>
        </w:r>
      </w:hyperlink>
      <w:r>
        <w:t xml:space="preserve"> </w:t>
      </w:r>
    </w:p>
  </w:footnote>
  <w:footnote w:id="3">
    <w:p w14:paraId="45926CD5" w14:textId="750E6278" w:rsidR="00BC3377" w:rsidRPr="00295697" w:rsidRDefault="00BC3377" w:rsidP="00177534">
      <w:pPr>
        <w:pStyle w:val="FootnoteText"/>
        <w:rPr>
          <w:lang w:val="en-AU"/>
        </w:rPr>
      </w:pPr>
      <w:r>
        <w:rPr>
          <w:rStyle w:val="FootnoteReference"/>
        </w:rPr>
        <w:footnoteRef/>
      </w:r>
      <w:r>
        <w:t xml:space="preserve"> </w:t>
      </w:r>
      <w:r>
        <w:rPr>
          <w:lang w:val="en-AU"/>
        </w:rPr>
        <w:tab/>
        <w:t xml:space="preserve">Tasmania’s Mineral Industry, Mineral Resources Tasmania. Found at: </w:t>
      </w:r>
      <w:hyperlink r:id="rId2" w:history="1">
        <w:r w:rsidRPr="00CE1C2A">
          <w:rPr>
            <w:rStyle w:val="Hyperlink"/>
            <w:lang w:val="en-AU"/>
          </w:rPr>
          <w:t>http://www.mrt.tas.gov.au/portal/mining</w:t>
        </w:r>
      </w:hyperlink>
      <w:r>
        <w:rPr>
          <w:lang w:val="en-AU"/>
        </w:rPr>
        <w:t xml:space="preserve"> </w:t>
      </w:r>
    </w:p>
  </w:footnote>
  <w:footnote w:id="4">
    <w:p w14:paraId="1D660604" w14:textId="033D7758" w:rsidR="00BC3377" w:rsidRDefault="00BC3377" w:rsidP="00177534">
      <w:pPr>
        <w:pStyle w:val="FootnoteText"/>
      </w:pPr>
      <w:r>
        <w:rPr>
          <w:rStyle w:val="FootnoteReference"/>
        </w:rPr>
        <w:footnoteRef/>
      </w:r>
      <w:r>
        <w:t xml:space="preserve"> </w:t>
      </w:r>
      <w:r>
        <w:tab/>
        <w:t xml:space="preserve">Export Statistics, Department of State Growth. Found at: </w:t>
      </w:r>
      <w:hyperlink r:id="rId3" w:history="1">
        <w:r w:rsidRPr="00B313D4">
          <w:rPr>
            <w:rStyle w:val="Hyperlink"/>
          </w:rPr>
          <w:t>https://www.stategrowth.tas.gov.au/business/trade/export_overview/export_statistics</w:t>
        </w:r>
      </w:hyperlink>
      <w:r>
        <w:t xml:space="preserve"> </w:t>
      </w:r>
    </w:p>
  </w:footnote>
  <w:footnote w:id="5">
    <w:p w14:paraId="6E018ABC" w14:textId="0A8B950C" w:rsidR="00BC3377" w:rsidRDefault="00BC3377" w:rsidP="00177534">
      <w:pPr>
        <w:pStyle w:val="FootnoteText"/>
      </w:pPr>
      <w:r>
        <w:rPr>
          <w:rStyle w:val="FootnoteReference"/>
        </w:rPr>
        <w:footnoteRef/>
      </w:r>
      <w:r>
        <w:t xml:space="preserve"> </w:t>
      </w:r>
      <w:r>
        <w:tab/>
        <w:t>Tasmania Delivers, Office of the Coordinator-General Tasmania, 2019</w:t>
      </w:r>
    </w:p>
  </w:footnote>
  <w:footnote w:id="6">
    <w:p w14:paraId="0CFB885E" w14:textId="27E1B1D8" w:rsidR="00E02B1E" w:rsidRDefault="00E02B1E">
      <w:pPr>
        <w:pStyle w:val="FootnoteText"/>
      </w:pPr>
      <w:r>
        <w:rPr>
          <w:rStyle w:val="FootnoteReference"/>
        </w:rPr>
        <w:footnoteRef/>
      </w:r>
      <w:r>
        <w:t xml:space="preserve"> </w:t>
      </w:r>
      <w:r>
        <w:tab/>
        <w:t>Tasmania Delivers, Office of the Coordinator-General Tasmania, 2019</w:t>
      </w:r>
    </w:p>
  </w:footnote>
  <w:footnote w:id="7">
    <w:p w14:paraId="5E0C7F66" w14:textId="397886BD" w:rsidR="00BC3377" w:rsidRDefault="00BC3377" w:rsidP="000717BB">
      <w:pPr>
        <w:pStyle w:val="FootnoteText"/>
      </w:pPr>
      <w:r>
        <w:rPr>
          <w:rStyle w:val="FootnoteReference"/>
        </w:rPr>
        <w:footnoteRef/>
      </w:r>
      <w:r>
        <w:t xml:space="preserve"> </w:t>
      </w:r>
      <w:r>
        <w:tab/>
        <w:t xml:space="preserve">News article from ABC News, Tasmania’s Avebury mine to stay close amid claims it owes $1 million in rates, 2019. Found at: </w:t>
      </w:r>
      <w:hyperlink r:id="rId4" w:history="1">
        <w:r w:rsidRPr="002C42C2">
          <w:rPr>
            <w:rStyle w:val="Hyperlink"/>
          </w:rPr>
          <w:t>https://www.abc.net.au/news/2019-04-24/avebury-nickel-mine-owes-council-$1m-in-unpaid-rates/11039818</w:t>
        </w:r>
      </w:hyperlink>
    </w:p>
  </w:footnote>
  <w:footnote w:id="8">
    <w:p w14:paraId="62854E88" w14:textId="1E69668B" w:rsidR="00BC3377" w:rsidRDefault="00BC3377" w:rsidP="000717BB">
      <w:pPr>
        <w:pStyle w:val="FootnoteText"/>
      </w:pPr>
      <w:r>
        <w:rPr>
          <w:rStyle w:val="FootnoteReference"/>
        </w:rPr>
        <w:footnoteRef/>
      </w:r>
      <w:r>
        <w:t xml:space="preserve"> </w:t>
      </w:r>
      <w:r>
        <w:tab/>
        <w:t xml:space="preserve">News article from Australian Mining, Riley mine restart pays off for Venture Minerals, 2019. Found at: </w:t>
      </w:r>
      <w:hyperlink r:id="rId5" w:history="1">
        <w:r w:rsidRPr="002C42C2">
          <w:rPr>
            <w:rStyle w:val="Hyperlink"/>
          </w:rPr>
          <w:t>https://www.australianmining.com.au/news/riley-mine-restart-pays-off-for-venture-minerals/</w:t>
        </w:r>
      </w:hyperlink>
    </w:p>
  </w:footnote>
  <w:footnote w:id="9">
    <w:p w14:paraId="54EF9633" w14:textId="6AB67428" w:rsidR="00BC3377" w:rsidRDefault="00BC3377" w:rsidP="000717BB">
      <w:pPr>
        <w:pStyle w:val="FootnoteText"/>
      </w:pPr>
      <w:r>
        <w:rPr>
          <w:rStyle w:val="FootnoteReference"/>
        </w:rPr>
        <w:footnoteRef/>
      </w:r>
      <w:r>
        <w:t xml:space="preserve"> </w:t>
      </w:r>
      <w:r>
        <w:tab/>
        <w:t xml:space="preserve">News article from The Advocate, King Island Scheelite director agrees to $2 million load, 2019. Found at: </w:t>
      </w:r>
      <w:hyperlink r:id="rId6" w:history="1">
        <w:r w:rsidRPr="00D20C53">
          <w:rPr>
            <w:rStyle w:val="Hyperlink"/>
          </w:rPr>
          <w:t>https://www.theadvocate.com.au/story/6292179/directors-2-million-loan-deal-for-king-island-mine-hope/</w:t>
        </w:r>
      </w:hyperlink>
      <w:r>
        <w:t xml:space="preserve"> </w:t>
      </w:r>
    </w:p>
  </w:footnote>
  <w:footnote w:id="10">
    <w:p w14:paraId="1693243F" w14:textId="0547BCF9" w:rsidR="00BC3377" w:rsidRDefault="00BC3377">
      <w:pPr>
        <w:pStyle w:val="FootnoteText"/>
      </w:pPr>
      <w:r>
        <w:rPr>
          <w:rStyle w:val="FootnoteReference"/>
        </w:rPr>
        <w:footnoteRef/>
      </w:r>
      <w:r>
        <w:t xml:space="preserve"> </w:t>
      </w:r>
      <w:r>
        <w:tab/>
        <w:t xml:space="preserve">Battery of the Nation, Hydro Tasmania. Found at: </w:t>
      </w:r>
      <w:hyperlink r:id="rId7" w:history="1">
        <w:r w:rsidRPr="002C42C2">
          <w:rPr>
            <w:rStyle w:val="Hyperlink"/>
          </w:rPr>
          <w:t>https://www.hydro.com.au/clean-energy/battery-of-the-nation</w:t>
        </w:r>
      </w:hyperlink>
      <w:r>
        <w:t xml:space="preserve"> </w:t>
      </w:r>
    </w:p>
  </w:footnote>
  <w:footnote w:id="11">
    <w:p w14:paraId="06B0A258" w14:textId="37CAB646" w:rsidR="00BC3377" w:rsidRDefault="00BC3377">
      <w:pPr>
        <w:pStyle w:val="FootnoteText"/>
      </w:pPr>
      <w:r>
        <w:rPr>
          <w:rStyle w:val="FootnoteReference"/>
        </w:rPr>
        <w:footnoteRef/>
      </w:r>
      <w:r>
        <w:t xml:space="preserve"> </w:t>
      </w:r>
      <w:r>
        <w:tab/>
        <w:t xml:space="preserve">Battery of the Nation, Hydro Tasmania. Found at: </w:t>
      </w:r>
      <w:hyperlink r:id="rId8" w:history="1">
        <w:r w:rsidRPr="002C42C2">
          <w:rPr>
            <w:rStyle w:val="Hyperlink"/>
          </w:rPr>
          <w:t>https://www.hydro.com.au/clean-energy/battery-of-the-nation</w:t>
        </w:r>
      </w:hyperlink>
      <w:r>
        <w:t xml:space="preserve">  </w:t>
      </w:r>
    </w:p>
  </w:footnote>
  <w:footnote w:id="12">
    <w:p w14:paraId="4AA0BFB5" w14:textId="7C433AA6" w:rsidR="00BC3377" w:rsidRPr="0052712E" w:rsidRDefault="00BC3377">
      <w:pPr>
        <w:pStyle w:val="FootnoteText"/>
        <w:rPr>
          <w:lang w:val="en-AU"/>
        </w:rPr>
      </w:pPr>
      <w:r>
        <w:rPr>
          <w:rStyle w:val="FootnoteReference"/>
        </w:rPr>
        <w:footnoteRef/>
      </w:r>
      <w:r>
        <w:t xml:space="preserve"> </w:t>
      </w:r>
      <w:r>
        <w:tab/>
        <w:t xml:space="preserve">Second Bass Strait Interconnector Technically Feasible, Arenawire, 2019. Found at: </w:t>
      </w:r>
      <w:hyperlink r:id="rId9" w:history="1">
        <w:r w:rsidRPr="002C42C2">
          <w:rPr>
            <w:rStyle w:val="Hyperlink"/>
          </w:rPr>
          <w:t>https://arena.gov.au/blog/marinus-feasible/</w:t>
        </w:r>
      </w:hyperlink>
      <w:r>
        <w:t xml:space="preserve"> </w:t>
      </w:r>
    </w:p>
  </w:footnote>
  <w:footnote w:id="13">
    <w:p w14:paraId="5DD4A2B6" w14:textId="4B785B48" w:rsidR="00BC3377" w:rsidRPr="0062030F" w:rsidRDefault="00BC3377">
      <w:pPr>
        <w:pStyle w:val="FootnoteText"/>
        <w:rPr>
          <w:lang w:val="en-AU"/>
        </w:rPr>
      </w:pPr>
      <w:r>
        <w:rPr>
          <w:rStyle w:val="FootnoteReference"/>
        </w:rPr>
        <w:footnoteRef/>
      </w:r>
      <w:r>
        <w:t xml:space="preserve"> </w:t>
      </w:r>
      <w:r>
        <w:tab/>
        <w:t xml:space="preserve">Second Bass Strait Interconnector Technically Feasible, Arenawire, 2019. Found at: </w:t>
      </w:r>
      <w:hyperlink r:id="rId10" w:history="1">
        <w:r w:rsidRPr="002C42C2">
          <w:rPr>
            <w:rStyle w:val="Hyperlink"/>
          </w:rPr>
          <w:t>https://arena.gov.au/blog/marinus-feasible/</w:t>
        </w:r>
      </w:hyperlink>
      <w:r>
        <w:t xml:space="preserve"> </w:t>
      </w:r>
    </w:p>
  </w:footnote>
  <w:footnote w:id="14">
    <w:p w14:paraId="7576F9A3" w14:textId="1BF002F3" w:rsidR="00BC3377" w:rsidRPr="003D513A" w:rsidRDefault="00BC3377" w:rsidP="00AA06B1">
      <w:pPr>
        <w:pStyle w:val="FootnoteText"/>
        <w:ind w:left="720" w:hanging="720"/>
        <w:rPr>
          <w:lang w:val="en-AU"/>
        </w:rPr>
      </w:pPr>
      <w:r w:rsidRPr="003D513A">
        <w:rPr>
          <w:rStyle w:val="FootnoteReference"/>
        </w:rPr>
        <w:footnoteRef/>
      </w:r>
      <w:r w:rsidRPr="003D513A">
        <w:t xml:space="preserve"> </w:t>
      </w:r>
      <w:r w:rsidRPr="003D513A">
        <w:tab/>
      </w:r>
      <w:r w:rsidRPr="003D513A">
        <w:rPr>
          <w:lang w:val="en-AU"/>
        </w:rPr>
        <w:t>Labour Market Information Portal, Australian Bureau of Statistics, 2019</w:t>
      </w:r>
    </w:p>
  </w:footnote>
  <w:footnote w:id="15">
    <w:p w14:paraId="2EF575A7" w14:textId="568D1B8C" w:rsidR="00BC3377" w:rsidRDefault="00BC3377" w:rsidP="00607F83">
      <w:pPr>
        <w:pStyle w:val="FootnoteText"/>
        <w:ind w:left="720" w:hanging="720"/>
      </w:pPr>
      <w:r w:rsidRPr="003D513A">
        <w:rPr>
          <w:rStyle w:val="FootnoteReference"/>
        </w:rPr>
        <w:footnoteRef/>
      </w:r>
      <w:r w:rsidRPr="003D513A">
        <w:t xml:space="preserve"> </w:t>
      </w:r>
      <w:r w:rsidRPr="003D513A">
        <w:tab/>
        <w:t>Australian</w:t>
      </w:r>
      <w:r w:rsidRPr="00ED5BF8">
        <w:t xml:space="preserve"> National Accounts: State Accounts, Australian Bureau of Statistics</w:t>
      </w:r>
      <w:r>
        <w:t xml:space="preserve">, </w:t>
      </w:r>
      <w:r w:rsidRPr="00ED5BF8">
        <w:t>2019</w:t>
      </w:r>
    </w:p>
  </w:footnote>
  <w:footnote w:id="16">
    <w:p w14:paraId="6805ECBD" w14:textId="402AAEA9" w:rsidR="00BC3377" w:rsidRPr="00ED5BF8" w:rsidRDefault="00BC3377">
      <w:pPr>
        <w:pStyle w:val="FootnoteText"/>
        <w:rPr>
          <w:lang w:val="en-AU"/>
        </w:rPr>
      </w:pPr>
      <w:r w:rsidRPr="00ED5BF8">
        <w:rPr>
          <w:rStyle w:val="FootnoteReference"/>
        </w:rPr>
        <w:footnoteRef/>
      </w:r>
      <w:r w:rsidRPr="00ED5BF8">
        <w:t xml:space="preserve"> </w:t>
      </w:r>
      <w:r>
        <w:tab/>
      </w:r>
      <w:r w:rsidRPr="00ED5BF8">
        <w:t>Australian National Accounts: State Accounts, Australian Bureau of Statistics</w:t>
      </w:r>
      <w:r>
        <w:t xml:space="preserve">, </w:t>
      </w:r>
      <w:r w:rsidRPr="00ED5BF8">
        <w:t>2019</w:t>
      </w:r>
    </w:p>
  </w:footnote>
  <w:footnote w:id="17">
    <w:p w14:paraId="2F74A5D1" w14:textId="407B5DB0" w:rsidR="00BC3377" w:rsidRPr="005665AD" w:rsidRDefault="00BC3377">
      <w:pPr>
        <w:pStyle w:val="FootnoteText"/>
        <w:rPr>
          <w:lang w:val="en-AU"/>
        </w:rPr>
      </w:pPr>
      <w:r>
        <w:rPr>
          <w:rStyle w:val="FootnoteReference"/>
        </w:rPr>
        <w:footnoteRef/>
      </w:r>
      <w:r>
        <w:t xml:space="preserve"> </w:t>
      </w:r>
      <w:r>
        <w:tab/>
      </w:r>
      <w:r w:rsidRPr="005A39D2">
        <w:t>Census of Population and Housing</w:t>
      </w:r>
      <w:r>
        <w:t xml:space="preserve">, </w:t>
      </w:r>
      <w:r w:rsidRPr="00ED5BF8">
        <w:t>Australian Bureau of Statistics</w:t>
      </w:r>
      <w:r>
        <w:t>,</w:t>
      </w:r>
      <w:r w:rsidRPr="005A39D2">
        <w:t xml:space="preserve"> </w:t>
      </w:r>
      <w:r w:rsidRPr="00ED5BF8">
        <w:t>2016</w:t>
      </w:r>
    </w:p>
  </w:footnote>
  <w:footnote w:id="18">
    <w:p w14:paraId="4B4B931D" w14:textId="57C6100A" w:rsidR="00BC3377" w:rsidRPr="00E83E00" w:rsidRDefault="00BC3377">
      <w:pPr>
        <w:pStyle w:val="FootnoteText"/>
        <w:rPr>
          <w:lang w:val="en-AU"/>
        </w:rPr>
      </w:pPr>
      <w:r>
        <w:rPr>
          <w:rStyle w:val="FootnoteReference"/>
        </w:rPr>
        <w:footnoteRef/>
      </w:r>
      <w:r>
        <w:t xml:space="preserve"> </w:t>
      </w:r>
      <w:r>
        <w:tab/>
      </w:r>
      <w:r w:rsidRPr="005A39D2">
        <w:t>Census of Population and Housing</w:t>
      </w:r>
      <w:r>
        <w:t xml:space="preserve">, </w:t>
      </w:r>
      <w:r w:rsidRPr="00ED5BF8">
        <w:t>Australian Bureau of Statistics</w:t>
      </w:r>
      <w:r>
        <w:t>,</w:t>
      </w:r>
      <w:r w:rsidRPr="005A39D2">
        <w:t xml:space="preserve"> </w:t>
      </w:r>
      <w:r w:rsidRPr="00ED5BF8">
        <w:t>2016</w:t>
      </w:r>
    </w:p>
  </w:footnote>
  <w:footnote w:id="19">
    <w:p w14:paraId="12F16941" w14:textId="24FF3561" w:rsidR="00BC3377" w:rsidRDefault="00BC3377" w:rsidP="00EB4499">
      <w:pPr>
        <w:pStyle w:val="FootnoteText"/>
        <w:ind w:left="720" w:hanging="720"/>
      </w:pPr>
      <w:r>
        <w:rPr>
          <w:rStyle w:val="FootnoteReference"/>
        </w:rPr>
        <w:footnoteRef/>
      </w:r>
      <w:r>
        <w:t xml:space="preserve"> </w:t>
      </w:r>
      <w:r>
        <w:tab/>
      </w:r>
      <w:r w:rsidRPr="005A39D2">
        <w:t>Census of Population and Housing</w:t>
      </w:r>
      <w:r>
        <w:t xml:space="preserve">, </w:t>
      </w:r>
      <w:r w:rsidRPr="00ED5BF8">
        <w:t>Australian Bureau of Statistics</w:t>
      </w:r>
      <w:r>
        <w:t>,</w:t>
      </w:r>
      <w:r w:rsidRPr="005A39D2">
        <w:t xml:space="preserve"> </w:t>
      </w:r>
      <w:r w:rsidRPr="00ED5BF8">
        <w:t>2016</w:t>
      </w:r>
    </w:p>
  </w:footnote>
  <w:footnote w:id="20">
    <w:p w14:paraId="6F16AF89" w14:textId="02ACEDAE" w:rsidR="00BC3377" w:rsidRDefault="00BC3377" w:rsidP="0008069B">
      <w:pPr>
        <w:pStyle w:val="FootnoteText"/>
      </w:pPr>
      <w:r>
        <w:rPr>
          <w:rStyle w:val="FootnoteReference"/>
        </w:rPr>
        <w:footnoteRef/>
      </w:r>
      <w:r>
        <w:t xml:space="preserve"> </w:t>
      </w:r>
      <w:r>
        <w:tab/>
      </w:r>
      <w:r w:rsidRPr="005A39D2">
        <w:t>Census of Population and Housing</w:t>
      </w:r>
      <w:r>
        <w:t xml:space="preserve">, </w:t>
      </w:r>
      <w:r w:rsidRPr="00ED5BF8">
        <w:t>Australian Bureau of Statistics</w:t>
      </w:r>
      <w:r>
        <w:t>,</w:t>
      </w:r>
      <w:r w:rsidRPr="005A39D2">
        <w:t xml:space="preserve"> </w:t>
      </w:r>
      <w:r w:rsidRPr="00ED5BF8">
        <w:t>2016</w:t>
      </w:r>
    </w:p>
  </w:footnote>
  <w:footnote w:id="21">
    <w:p w14:paraId="740AA5DE" w14:textId="50633FFE" w:rsidR="00BC3377" w:rsidRDefault="00BC3377" w:rsidP="0008069B">
      <w:pPr>
        <w:pStyle w:val="FootnoteText"/>
        <w:ind w:left="0" w:firstLine="0"/>
      </w:pPr>
      <w:r>
        <w:rPr>
          <w:rStyle w:val="FootnoteReference"/>
        </w:rPr>
        <w:footnoteRef/>
      </w:r>
      <w:r>
        <w:t xml:space="preserve"> </w:t>
      </w:r>
      <w:r>
        <w:tab/>
      </w:r>
      <w:r w:rsidRPr="005A39D2">
        <w:t>Census of Population and Housing</w:t>
      </w:r>
      <w:r>
        <w:t xml:space="preserve">, </w:t>
      </w:r>
      <w:r w:rsidRPr="00ED5BF8">
        <w:t>Australian Bureau of Statistics</w:t>
      </w:r>
      <w:r>
        <w:t>,</w:t>
      </w:r>
      <w:r w:rsidRPr="005A39D2">
        <w:t xml:space="preserve"> </w:t>
      </w:r>
      <w:r w:rsidRPr="00ED5BF8">
        <w:t>2016</w:t>
      </w:r>
    </w:p>
  </w:footnote>
  <w:footnote w:id="22">
    <w:p w14:paraId="5DA10246" w14:textId="6FF8007D" w:rsidR="00BC3377" w:rsidRDefault="00BC3377" w:rsidP="0008069B">
      <w:pPr>
        <w:pStyle w:val="FootnoteText"/>
      </w:pPr>
      <w:r>
        <w:rPr>
          <w:rStyle w:val="FootnoteReference"/>
        </w:rPr>
        <w:footnoteRef/>
      </w:r>
      <w:r>
        <w:t xml:space="preserve"> </w:t>
      </w:r>
      <w:r>
        <w:tab/>
      </w:r>
      <w:r w:rsidRPr="005A39D2">
        <w:t>Census of Population and Housing</w:t>
      </w:r>
      <w:r>
        <w:t xml:space="preserve">, </w:t>
      </w:r>
      <w:r w:rsidRPr="00ED5BF8">
        <w:t>Australian Bureau of Statistics</w:t>
      </w:r>
      <w:r>
        <w:t>,</w:t>
      </w:r>
      <w:r w:rsidRPr="005A39D2">
        <w:t xml:space="preserve"> </w:t>
      </w:r>
      <w:r w:rsidRPr="00ED5BF8">
        <w:t>2016</w:t>
      </w:r>
    </w:p>
  </w:footnote>
  <w:footnote w:id="23">
    <w:p w14:paraId="12735D1B" w14:textId="0693D8DE" w:rsidR="00BC3377" w:rsidRPr="00C3554A" w:rsidRDefault="00BC3377">
      <w:pPr>
        <w:pStyle w:val="FootnoteText"/>
        <w:rPr>
          <w:lang w:val="en-AU"/>
        </w:rPr>
      </w:pPr>
      <w:r>
        <w:rPr>
          <w:rStyle w:val="FootnoteReference"/>
        </w:rPr>
        <w:footnoteRef/>
      </w:r>
      <w:r>
        <w:t xml:space="preserve"> </w:t>
      </w:r>
      <w:r>
        <w:tab/>
      </w:r>
      <w:r w:rsidRPr="005A39D2">
        <w:t>Census of Population and Housing</w:t>
      </w:r>
      <w:r>
        <w:t xml:space="preserve">, </w:t>
      </w:r>
      <w:r w:rsidRPr="00ED5BF8">
        <w:t>Australian Bureau of Statistics</w:t>
      </w:r>
      <w:r>
        <w:t>,</w:t>
      </w:r>
      <w:r w:rsidRPr="005A39D2">
        <w:t xml:space="preserve"> </w:t>
      </w:r>
      <w:r w:rsidRPr="00ED5BF8">
        <w:t>2016</w:t>
      </w:r>
    </w:p>
  </w:footnote>
  <w:footnote w:id="24">
    <w:p w14:paraId="21720175" w14:textId="535286CD" w:rsidR="00BC3377" w:rsidRDefault="00BC3377" w:rsidP="0008069B">
      <w:pPr>
        <w:pStyle w:val="FootnoteText"/>
      </w:pPr>
      <w:r>
        <w:rPr>
          <w:rStyle w:val="FootnoteReference"/>
        </w:rPr>
        <w:footnoteRef/>
      </w:r>
      <w:r>
        <w:t xml:space="preserve"> </w:t>
      </w:r>
      <w:r>
        <w:tab/>
      </w:r>
      <w:r w:rsidRPr="005A39D2">
        <w:t>Census of Population and Housing</w:t>
      </w:r>
      <w:r>
        <w:t xml:space="preserve">, </w:t>
      </w:r>
      <w:r w:rsidRPr="00ED5BF8">
        <w:t>Australian Bureau of Statistics</w:t>
      </w:r>
      <w:r>
        <w:t>,</w:t>
      </w:r>
      <w:r w:rsidRPr="005A39D2">
        <w:t xml:space="preserve"> </w:t>
      </w:r>
      <w:r w:rsidRPr="00ED5BF8">
        <w:t>2016</w:t>
      </w:r>
    </w:p>
  </w:footnote>
  <w:footnote w:id="25">
    <w:p w14:paraId="25AA64E4" w14:textId="200A3C6B" w:rsidR="00BC3377" w:rsidRPr="0050643D" w:rsidRDefault="00BC3377">
      <w:pPr>
        <w:pStyle w:val="FootnoteText"/>
        <w:rPr>
          <w:lang w:val="en-AU"/>
        </w:rPr>
      </w:pPr>
      <w:r>
        <w:rPr>
          <w:rStyle w:val="FootnoteReference"/>
        </w:rPr>
        <w:footnoteRef/>
      </w:r>
      <w:r>
        <w:t xml:space="preserve"> </w:t>
      </w:r>
      <w:r>
        <w:tab/>
      </w:r>
      <w:r w:rsidRPr="005A39D2">
        <w:t>Census of Population and Housing</w:t>
      </w:r>
      <w:r>
        <w:t xml:space="preserve">, </w:t>
      </w:r>
      <w:r w:rsidRPr="00ED5BF8">
        <w:t>Australian Bureau of Statistics</w:t>
      </w:r>
      <w:r>
        <w:t>,</w:t>
      </w:r>
      <w:r w:rsidRPr="005A39D2">
        <w:t xml:space="preserve"> </w:t>
      </w:r>
      <w:r w:rsidRPr="00ED5BF8">
        <w:t>2016</w:t>
      </w:r>
    </w:p>
  </w:footnote>
  <w:footnote w:id="26">
    <w:p w14:paraId="7E568E93" w14:textId="43BC9576" w:rsidR="00BC3377" w:rsidRPr="00EB4499" w:rsidRDefault="00BC3377">
      <w:pPr>
        <w:pStyle w:val="FootnoteText"/>
        <w:rPr>
          <w:lang w:val="en-AU"/>
        </w:rPr>
      </w:pPr>
      <w:r>
        <w:rPr>
          <w:rStyle w:val="FootnoteReference"/>
        </w:rPr>
        <w:footnoteRef/>
      </w:r>
      <w:r>
        <w:t xml:space="preserve"> </w:t>
      </w:r>
      <w:r>
        <w:tab/>
      </w:r>
      <w:r w:rsidRPr="005A39D2">
        <w:t>Census of Population and Housing</w:t>
      </w:r>
      <w:r>
        <w:t xml:space="preserve">, </w:t>
      </w:r>
      <w:r w:rsidRPr="00ED5BF8">
        <w:t>Australian Bureau of Statistics</w:t>
      </w:r>
      <w:r>
        <w:t>,</w:t>
      </w:r>
      <w:r w:rsidRPr="005A39D2">
        <w:t xml:space="preserve"> </w:t>
      </w:r>
      <w:r w:rsidRPr="00ED5BF8">
        <w:t>2016</w:t>
      </w:r>
    </w:p>
  </w:footnote>
  <w:footnote w:id="27">
    <w:p w14:paraId="4AFA7DBC" w14:textId="17A89A15" w:rsidR="00BC3377" w:rsidRPr="003B65DD" w:rsidRDefault="00BC3377">
      <w:pPr>
        <w:pStyle w:val="FootnoteText"/>
        <w:rPr>
          <w:lang w:val="en-AU"/>
        </w:rPr>
      </w:pPr>
      <w:r>
        <w:rPr>
          <w:rStyle w:val="FootnoteReference"/>
        </w:rPr>
        <w:footnoteRef/>
      </w:r>
      <w:r>
        <w:t xml:space="preserve"> </w:t>
      </w:r>
      <w:r>
        <w:tab/>
        <w:t xml:space="preserve">News article from </w:t>
      </w:r>
      <w:r>
        <w:rPr>
          <w:lang w:val="en-AU"/>
        </w:rPr>
        <w:t xml:space="preserve">ABC News, Women in mining: Dig the changing face of Australia’s mining industry, 2018. Found at </w:t>
      </w:r>
      <w:hyperlink r:id="rId11" w:history="1">
        <w:r w:rsidRPr="002C42C2">
          <w:rPr>
            <w:rStyle w:val="Hyperlink"/>
            <w:lang w:val="en-AU"/>
          </w:rPr>
          <w:t>https://www.abc.net.au/news/2018-05-22/dig-the-changing-face-of-mining-as-women-make-inroads/9786020</w:t>
        </w:r>
      </w:hyperlink>
      <w:r>
        <w:rPr>
          <w:lang w:val="en-AU"/>
        </w:rPr>
        <w:t xml:space="preserve"> </w:t>
      </w:r>
    </w:p>
  </w:footnote>
  <w:footnote w:id="28">
    <w:p w14:paraId="590427E6" w14:textId="2A3B9F40" w:rsidR="00BC3377" w:rsidRDefault="00BC3377" w:rsidP="00602A3D">
      <w:pPr>
        <w:pStyle w:val="FootnoteText"/>
      </w:pPr>
      <w:r>
        <w:rPr>
          <w:rStyle w:val="FootnoteReference"/>
        </w:rPr>
        <w:footnoteRef/>
      </w:r>
      <w:r>
        <w:t xml:space="preserve"> </w:t>
      </w:r>
      <w:r>
        <w:tab/>
      </w:r>
      <w:r w:rsidRPr="005A39D2">
        <w:t>Census of Population and Housing</w:t>
      </w:r>
      <w:r>
        <w:t xml:space="preserve">, </w:t>
      </w:r>
      <w:r w:rsidRPr="00ED5BF8">
        <w:t>Australian Bureau of Statistics</w:t>
      </w:r>
      <w:r>
        <w:t>,</w:t>
      </w:r>
      <w:r w:rsidRPr="005A39D2">
        <w:t xml:space="preserve"> </w:t>
      </w:r>
      <w:r w:rsidRPr="00ED5BF8">
        <w:t>2016</w:t>
      </w:r>
    </w:p>
  </w:footnote>
  <w:footnote w:id="29">
    <w:p w14:paraId="40370B92" w14:textId="5BBA3149" w:rsidR="00BC3377" w:rsidRPr="0050643D" w:rsidRDefault="00BC3377">
      <w:pPr>
        <w:pStyle w:val="FootnoteText"/>
        <w:rPr>
          <w:lang w:val="en-AU"/>
        </w:rPr>
      </w:pPr>
      <w:r>
        <w:rPr>
          <w:rStyle w:val="FootnoteReference"/>
        </w:rPr>
        <w:footnoteRef/>
      </w:r>
      <w:r>
        <w:t xml:space="preserve"> </w:t>
      </w:r>
      <w:r>
        <w:tab/>
      </w:r>
      <w:r w:rsidRPr="005A39D2">
        <w:t>Census of Population and Housing</w:t>
      </w:r>
      <w:r>
        <w:t xml:space="preserve">, </w:t>
      </w:r>
      <w:r w:rsidRPr="00ED5BF8">
        <w:t>Australian Bureau of Statistics</w:t>
      </w:r>
      <w:r>
        <w:t>,</w:t>
      </w:r>
      <w:r w:rsidRPr="005A39D2">
        <w:t xml:space="preserve"> </w:t>
      </w:r>
      <w:r w:rsidRPr="00ED5BF8">
        <w:t>2016</w:t>
      </w:r>
    </w:p>
  </w:footnote>
  <w:footnote w:id="30">
    <w:p w14:paraId="7073DF87" w14:textId="24C0E93B" w:rsidR="00BC3377" w:rsidRPr="00CC0049" w:rsidRDefault="00BC3377" w:rsidP="00602A3D">
      <w:pPr>
        <w:pStyle w:val="FootnoteText"/>
        <w:rPr>
          <w:lang w:val="en-AU"/>
        </w:rPr>
      </w:pPr>
      <w:r>
        <w:rPr>
          <w:rStyle w:val="FootnoteReference"/>
        </w:rPr>
        <w:footnoteRef/>
      </w:r>
      <w:r>
        <w:t xml:space="preserve"> </w:t>
      </w:r>
      <w:r>
        <w:tab/>
      </w:r>
      <w:r w:rsidRPr="005A39D2">
        <w:t>Census of Population and Housing</w:t>
      </w:r>
      <w:r>
        <w:t xml:space="preserve">, </w:t>
      </w:r>
      <w:r w:rsidRPr="00ED5BF8">
        <w:t>Australian Bureau of Statistics</w:t>
      </w:r>
      <w:r>
        <w:t>,</w:t>
      </w:r>
      <w:r w:rsidRPr="005A39D2">
        <w:t xml:space="preserve"> </w:t>
      </w:r>
      <w:r w:rsidRPr="00ED5BF8">
        <w:t>2016</w:t>
      </w:r>
    </w:p>
  </w:footnote>
  <w:footnote w:id="31">
    <w:p w14:paraId="0BBB20FB" w14:textId="70FCBC80" w:rsidR="00BC3377" w:rsidRPr="00CC0049" w:rsidRDefault="00BC3377" w:rsidP="00602A3D">
      <w:pPr>
        <w:pStyle w:val="FootnoteText"/>
        <w:rPr>
          <w:lang w:val="en-AU"/>
        </w:rPr>
      </w:pPr>
      <w:r>
        <w:rPr>
          <w:rStyle w:val="FootnoteReference"/>
        </w:rPr>
        <w:footnoteRef/>
      </w:r>
      <w:r>
        <w:t xml:space="preserve"> </w:t>
      </w:r>
      <w:r>
        <w:tab/>
      </w:r>
      <w:r w:rsidRPr="005A39D2">
        <w:t>Census of Population and Housing</w:t>
      </w:r>
      <w:r>
        <w:t xml:space="preserve">, </w:t>
      </w:r>
      <w:r w:rsidRPr="00ED5BF8">
        <w:t>Australian Bureau of Statistics</w:t>
      </w:r>
      <w:r>
        <w:t>,</w:t>
      </w:r>
      <w:r w:rsidRPr="005A39D2">
        <w:t xml:space="preserve"> </w:t>
      </w:r>
      <w:r w:rsidRPr="00ED5BF8">
        <w:t>2016</w:t>
      </w:r>
    </w:p>
  </w:footnote>
  <w:footnote w:id="32">
    <w:p w14:paraId="565F1AB8" w14:textId="43002A63" w:rsidR="00BC3377" w:rsidRDefault="00BC3377" w:rsidP="00684710">
      <w:pPr>
        <w:pStyle w:val="FootnoteText"/>
      </w:pPr>
      <w:r>
        <w:rPr>
          <w:rStyle w:val="FootnoteReference"/>
        </w:rPr>
        <w:footnoteRef/>
      </w:r>
      <w:r>
        <w:t xml:space="preserve"> </w:t>
      </w:r>
      <w:r>
        <w:tab/>
      </w:r>
      <w:r w:rsidRPr="005A39D2">
        <w:t>Census of Population and Housing</w:t>
      </w:r>
      <w:r>
        <w:t xml:space="preserve">, </w:t>
      </w:r>
      <w:r w:rsidRPr="00ED5BF8">
        <w:t>Australian Bureau of Statistics</w:t>
      </w:r>
      <w:r>
        <w:t>,</w:t>
      </w:r>
      <w:r w:rsidRPr="005A39D2">
        <w:t xml:space="preserve"> </w:t>
      </w:r>
      <w:r w:rsidRPr="00ED5BF8">
        <w:t>2016</w:t>
      </w:r>
    </w:p>
  </w:footnote>
  <w:footnote w:id="33">
    <w:p w14:paraId="5D82B005" w14:textId="646B8D15" w:rsidR="00BC3377" w:rsidRDefault="00BC3377">
      <w:pPr>
        <w:pStyle w:val="FootnoteText"/>
      </w:pPr>
      <w:r>
        <w:rPr>
          <w:rStyle w:val="FootnoteReference"/>
        </w:rPr>
        <w:footnoteRef/>
      </w:r>
      <w:r>
        <w:t xml:space="preserve"> </w:t>
      </w:r>
      <w:r>
        <w:tab/>
      </w:r>
      <w:r w:rsidRPr="005A39D2">
        <w:t>Census of Population and Housing</w:t>
      </w:r>
      <w:r>
        <w:t xml:space="preserve">, </w:t>
      </w:r>
      <w:r w:rsidRPr="00ED5BF8">
        <w:t>Australian Bureau of Statistics</w:t>
      </w:r>
      <w:r>
        <w:t>,</w:t>
      </w:r>
      <w:r w:rsidRPr="005A39D2">
        <w:t xml:space="preserve"> </w:t>
      </w:r>
      <w:r w:rsidRPr="00ED5BF8">
        <w:t>2016</w:t>
      </w:r>
    </w:p>
  </w:footnote>
  <w:footnote w:id="34">
    <w:p w14:paraId="18581558" w14:textId="784202EB" w:rsidR="00BC3377" w:rsidRDefault="00BC3377">
      <w:pPr>
        <w:pStyle w:val="FootnoteText"/>
      </w:pPr>
      <w:r>
        <w:rPr>
          <w:rStyle w:val="FootnoteReference"/>
        </w:rPr>
        <w:footnoteRef/>
      </w:r>
      <w:r>
        <w:t xml:space="preserve"> </w:t>
      </w:r>
      <w:r>
        <w:tab/>
      </w:r>
      <w:r w:rsidRPr="005A39D2">
        <w:t>Census of Population and Housing</w:t>
      </w:r>
      <w:r>
        <w:t xml:space="preserve">, </w:t>
      </w:r>
      <w:r w:rsidRPr="00ED5BF8">
        <w:t>Australian Bureau of Statistics</w:t>
      </w:r>
      <w:r>
        <w:t>,</w:t>
      </w:r>
      <w:r w:rsidRPr="005A39D2">
        <w:t xml:space="preserve"> </w:t>
      </w:r>
      <w:r w:rsidRPr="00ED5BF8">
        <w:t>2016</w:t>
      </w:r>
    </w:p>
  </w:footnote>
  <w:footnote w:id="35">
    <w:p w14:paraId="4DAF2BB7" w14:textId="752C12E5" w:rsidR="00BC3377" w:rsidRPr="00406CE0" w:rsidRDefault="00BC3377">
      <w:pPr>
        <w:pStyle w:val="FootnoteText"/>
        <w:rPr>
          <w:lang w:val="en-AU"/>
        </w:rPr>
      </w:pPr>
      <w:r>
        <w:rPr>
          <w:rStyle w:val="FootnoteReference"/>
        </w:rPr>
        <w:footnoteRef/>
      </w:r>
      <w:r>
        <w:t xml:space="preserve"> </w:t>
      </w:r>
      <w:r>
        <w:tab/>
      </w:r>
      <w:r w:rsidRPr="005A39D2">
        <w:t>Census of Population and Housing</w:t>
      </w:r>
      <w:r>
        <w:t xml:space="preserve">, </w:t>
      </w:r>
      <w:r w:rsidRPr="00ED5BF8">
        <w:t>Australian Bureau of Statistics</w:t>
      </w:r>
      <w:r>
        <w:t>,</w:t>
      </w:r>
      <w:r w:rsidRPr="005A39D2">
        <w:t xml:space="preserve"> </w:t>
      </w:r>
      <w:r w:rsidRPr="00ED5BF8">
        <w:t>2016</w:t>
      </w:r>
    </w:p>
  </w:footnote>
  <w:footnote w:id="36">
    <w:p w14:paraId="3B97F43B" w14:textId="47A0176D" w:rsidR="00BC3377" w:rsidRPr="00C659FC" w:rsidRDefault="00BC3377">
      <w:pPr>
        <w:pStyle w:val="FootnoteText"/>
        <w:rPr>
          <w:lang w:val="en-AU"/>
        </w:rPr>
      </w:pPr>
      <w:r>
        <w:rPr>
          <w:rStyle w:val="FootnoteReference"/>
        </w:rPr>
        <w:footnoteRef/>
      </w:r>
      <w:r>
        <w:t xml:space="preserve"> </w:t>
      </w:r>
      <w:r>
        <w:rPr>
          <w:lang w:val="en-AU"/>
        </w:rPr>
        <w:tab/>
      </w:r>
      <w:r w:rsidRPr="005A39D2">
        <w:t>Census of Population and Housing</w:t>
      </w:r>
      <w:r>
        <w:t xml:space="preserve">, </w:t>
      </w:r>
      <w:r w:rsidRPr="00ED5BF8">
        <w:t>Australian Bureau of Statistics</w:t>
      </w:r>
      <w:r>
        <w:t>,</w:t>
      </w:r>
      <w:r w:rsidRPr="005A39D2">
        <w:t xml:space="preserve"> </w:t>
      </w:r>
      <w:r w:rsidRPr="00ED5BF8">
        <w:t>2016</w:t>
      </w:r>
    </w:p>
  </w:footnote>
  <w:footnote w:id="37">
    <w:p w14:paraId="4BA8B5F1" w14:textId="671BE59F" w:rsidR="00BC3377" w:rsidRPr="00C74E25" w:rsidRDefault="00BC3377">
      <w:pPr>
        <w:pStyle w:val="FootnoteText"/>
        <w:rPr>
          <w:lang w:val="en-AU"/>
        </w:rPr>
      </w:pPr>
      <w:r w:rsidRPr="00C02DAF">
        <w:rPr>
          <w:rStyle w:val="FootnoteReference"/>
        </w:rPr>
        <w:footnoteRef/>
      </w:r>
      <w:r w:rsidRPr="00C02DAF">
        <w:t xml:space="preserve"> </w:t>
      </w:r>
      <w:r w:rsidRPr="00C02DAF">
        <w:tab/>
        <w:t xml:space="preserve">VOCSTATS, National Centre for Vocational Education Research. Found at: </w:t>
      </w:r>
      <w:hyperlink r:id="rId12" w:history="1">
        <w:r w:rsidRPr="00C02DAF">
          <w:rPr>
            <w:rStyle w:val="Hyperlink"/>
          </w:rPr>
          <w:t>https://www.ncver.edu.au/research-and-statistics/vocstats</w:t>
        </w:r>
      </w:hyperlink>
      <w:r>
        <w:t xml:space="preserve"> </w:t>
      </w:r>
    </w:p>
  </w:footnote>
  <w:footnote w:id="38">
    <w:p w14:paraId="1034763B" w14:textId="57AFCC50" w:rsidR="00BC3377" w:rsidRPr="00C74E25" w:rsidRDefault="00BC3377" w:rsidP="00C74E25">
      <w:pPr>
        <w:pStyle w:val="FootnoteText"/>
        <w:rPr>
          <w:lang w:val="en-AU"/>
        </w:rPr>
      </w:pPr>
      <w:r w:rsidRPr="00C02DAF">
        <w:rPr>
          <w:rStyle w:val="FootnoteReference"/>
        </w:rPr>
        <w:footnoteRef/>
      </w:r>
      <w:r w:rsidRPr="00C02DAF">
        <w:t xml:space="preserve"> </w:t>
      </w:r>
      <w:r w:rsidRPr="00C02DAF">
        <w:tab/>
        <w:t xml:space="preserve">VOCSTATS, National Centre for Vocational Education Research. Found at: </w:t>
      </w:r>
      <w:hyperlink r:id="rId13" w:history="1">
        <w:r w:rsidRPr="00C02DAF">
          <w:rPr>
            <w:rStyle w:val="Hyperlink"/>
          </w:rPr>
          <w:t>https://www.ncver.edu.au/research-and-statistics/vocstats</w:t>
        </w:r>
      </w:hyperlink>
      <w:r>
        <w:t xml:space="preserve"> </w:t>
      </w:r>
    </w:p>
  </w:footnote>
  <w:footnote w:id="39">
    <w:p w14:paraId="187E332B" w14:textId="37E7CEE8" w:rsidR="00BC3377" w:rsidRPr="00E93121" w:rsidRDefault="00BC3377">
      <w:pPr>
        <w:pStyle w:val="FootnoteText"/>
        <w:rPr>
          <w:lang w:val="en-AU"/>
        </w:rPr>
      </w:pPr>
      <w:r w:rsidRPr="003D513A">
        <w:rPr>
          <w:rStyle w:val="FootnoteReference"/>
        </w:rPr>
        <w:footnoteRef/>
      </w:r>
      <w:r w:rsidRPr="003D513A">
        <w:t xml:space="preserve"> </w:t>
      </w:r>
      <w:r w:rsidRPr="003D513A">
        <w:tab/>
      </w:r>
      <w:r w:rsidRPr="003D513A">
        <w:rPr>
          <w:lang w:val="en-AU"/>
        </w:rPr>
        <w:t>Myskills, Department of Employment, Skills, Small and Family Business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EE2C8" w14:textId="4AD74613" w:rsidR="00BC3377" w:rsidRDefault="00BC33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86733" w14:textId="3FA81D4C" w:rsidR="00BC3377" w:rsidRDefault="00BC33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93E5A" w14:textId="3837AC3C" w:rsidR="00BC3377" w:rsidRDefault="00BC3377" w:rsidP="00D26818">
    <w:pPr>
      <w:pStyle w:val="Header"/>
      <w:spacing w:after="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7CD64" w14:textId="441D8115" w:rsidR="00BC3377" w:rsidRDefault="00BC33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22558" w14:textId="3AEDE5FC" w:rsidR="00BC3377" w:rsidRDefault="00BC33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A4CFF" w14:textId="2F78B0A5" w:rsidR="00BC3377" w:rsidRDefault="00BC3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ED4D362"/>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2E364FBC"/>
    <w:lvl w:ilvl="0">
      <w:start w:val="1"/>
      <w:numFmt w:val="decimal"/>
      <w:pStyle w:val="ListNumber2"/>
      <w:lvlText w:val="%1."/>
      <w:lvlJc w:val="left"/>
      <w:pPr>
        <w:tabs>
          <w:tab w:val="num" w:pos="643"/>
        </w:tabs>
        <w:ind w:left="643" w:hanging="360"/>
      </w:pPr>
    </w:lvl>
  </w:abstractNum>
  <w:abstractNum w:abstractNumId="2" w15:restartNumberingAfterBreak="0">
    <w:nsid w:val="001D1502"/>
    <w:multiLevelType w:val="hybridMultilevel"/>
    <w:tmpl w:val="420EA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6318B5"/>
    <w:multiLevelType w:val="hybridMultilevel"/>
    <w:tmpl w:val="F6A6F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F9443A"/>
    <w:multiLevelType w:val="hybridMultilevel"/>
    <w:tmpl w:val="84C26D14"/>
    <w:lvl w:ilvl="0" w:tplc="39A25FAA">
      <w:start w:val="1"/>
      <w:numFmt w:val="bullet"/>
      <w:pStyle w:val="Tablelist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5" w15:restartNumberingAfterBreak="0">
    <w:nsid w:val="13240A65"/>
    <w:multiLevelType w:val="hybridMultilevel"/>
    <w:tmpl w:val="442E28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031791"/>
    <w:multiLevelType w:val="hybridMultilevel"/>
    <w:tmpl w:val="C0087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A033F0"/>
    <w:multiLevelType w:val="hybridMultilevel"/>
    <w:tmpl w:val="A2006A06"/>
    <w:lvl w:ilvl="0" w:tplc="3990BAE6">
      <w:start w:val="5"/>
      <w:numFmt w:val="bullet"/>
      <w:lvlText w:val="-"/>
      <w:lvlJc w:val="left"/>
      <w:pPr>
        <w:ind w:left="720" w:hanging="360"/>
      </w:pPr>
      <w:rPr>
        <w:rFonts w:ascii="Arial" w:eastAsia="Cambr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7B1077"/>
    <w:multiLevelType w:val="hybridMultilevel"/>
    <w:tmpl w:val="A96AB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0476C8"/>
    <w:multiLevelType w:val="hybridMultilevel"/>
    <w:tmpl w:val="6E369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1F0645"/>
    <w:multiLevelType w:val="hybridMultilevel"/>
    <w:tmpl w:val="51546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383496"/>
    <w:multiLevelType w:val="hybridMultilevel"/>
    <w:tmpl w:val="929251C6"/>
    <w:lvl w:ilvl="0" w:tplc="89CE2456">
      <w:start w:val="1"/>
      <w:numFmt w:val="decimal"/>
      <w:pStyle w:val="ListNumber"/>
      <w:lvlText w:val="%1."/>
      <w:lvlJc w:val="left"/>
      <w:pPr>
        <w:ind w:left="50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CBCC45E">
      <w:start w:val="1"/>
      <w:numFmt w:val="lowerLetter"/>
      <w:lvlText w:val="%2)"/>
      <w:lvlJc w:val="left"/>
      <w:pPr>
        <w:ind w:left="1800" w:hanging="360"/>
      </w:pPr>
      <w:rPr>
        <w:rFont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2E95352"/>
    <w:multiLevelType w:val="hybridMultilevel"/>
    <w:tmpl w:val="58CA9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B95E13"/>
    <w:multiLevelType w:val="hybridMultilevel"/>
    <w:tmpl w:val="7FEE5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D31C86"/>
    <w:multiLevelType w:val="hybridMultilevel"/>
    <w:tmpl w:val="D174E4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6742ECF"/>
    <w:multiLevelType w:val="hybridMultilevel"/>
    <w:tmpl w:val="0194F0D8"/>
    <w:lvl w:ilvl="0" w:tplc="87AEA3C0">
      <w:start w:val="1"/>
      <w:numFmt w:val="bullet"/>
      <w:pStyle w:val="Tablelistbullet2"/>
      <w:lvlText w:val="-"/>
      <w:lvlJc w:val="left"/>
      <w:pPr>
        <w:ind w:left="1080" w:hanging="360"/>
      </w:pPr>
      <w:rPr>
        <w:rFonts w:ascii="Courier New" w:hAnsi="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93B4BAC"/>
    <w:multiLevelType w:val="hybridMultilevel"/>
    <w:tmpl w:val="C15A3B5A"/>
    <w:lvl w:ilvl="0" w:tplc="5DD0597A">
      <w:start w:val="1"/>
      <w:numFmt w:val="bullet"/>
      <w:pStyle w:val="ListBullet2"/>
      <w:lvlText w:val=""/>
      <w:lvlJc w:val="left"/>
      <w:pPr>
        <w:ind w:left="1605" w:hanging="360"/>
      </w:pPr>
      <w:rPr>
        <w:rFonts w:ascii="Symbol" w:hAnsi="Symbol" w:hint="default"/>
        <w:sz w:val="22"/>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7" w15:restartNumberingAfterBreak="0">
    <w:nsid w:val="3A7E28F9"/>
    <w:multiLevelType w:val="hybridMultilevel"/>
    <w:tmpl w:val="EB12CA16"/>
    <w:lvl w:ilvl="0" w:tplc="38BE4FB2">
      <w:start w:val="1"/>
      <w:numFmt w:val="bullet"/>
      <w:pStyle w:val="ListBullet"/>
      <w:lvlText w:val=""/>
      <w:lvlJc w:val="left"/>
      <w:pPr>
        <w:ind w:left="502" w:hanging="360"/>
      </w:pPr>
      <w:rPr>
        <w:rFonts w:ascii="Symbol" w:hAnsi="Symbol" w:hint="default"/>
        <w:sz w:val="22"/>
        <w:szCs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BC81F2F"/>
    <w:multiLevelType w:val="hybridMultilevel"/>
    <w:tmpl w:val="274AC9FC"/>
    <w:lvl w:ilvl="0" w:tplc="B6AC8736">
      <w:start w:val="5"/>
      <w:numFmt w:val="bullet"/>
      <w:lvlText w:val="-"/>
      <w:lvlJc w:val="left"/>
      <w:pPr>
        <w:ind w:left="1605" w:hanging="360"/>
      </w:pPr>
      <w:rPr>
        <w:rFonts w:ascii="Arial" w:eastAsia="Cambria" w:hAnsi="Arial" w:cs="Arial" w:hint="default"/>
        <w:sz w:val="22"/>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9" w15:restartNumberingAfterBreak="0">
    <w:nsid w:val="3E97786D"/>
    <w:multiLevelType w:val="hybridMultilevel"/>
    <w:tmpl w:val="60B0C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A202C2"/>
    <w:multiLevelType w:val="hybridMultilevel"/>
    <w:tmpl w:val="09B60A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FC1F2F"/>
    <w:multiLevelType w:val="hybridMultilevel"/>
    <w:tmpl w:val="2ECEDB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4721A7A"/>
    <w:multiLevelType w:val="hybridMultilevel"/>
    <w:tmpl w:val="8A94B5FE"/>
    <w:lvl w:ilvl="0" w:tplc="B6AC8736">
      <w:start w:val="5"/>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E103FB"/>
    <w:multiLevelType w:val="hybridMultilevel"/>
    <w:tmpl w:val="B2A268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97540C5"/>
    <w:multiLevelType w:val="hybridMultilevel"/>
    <w:tmpl w:val="EED02304"/>
    <w:lvl w:ilvl="0" w:tplc="A216AA42">
      <w:start w:val="1"/>
      <w:numFmt w:val="bullet"/>
      <w:pStyle w:val="TableListBullet1"/>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CEC0ECB"/>
    <w:multiLevelType w:val="multilevel"/>
    <w:tmpl w:val="0CDA458C"/>
    <w:lvl w:ilvl="0">
      <w:start w:val="1"/>
      <w:numFmt w:val="decimal"/>
      <w:pStyle w:val="Heading1"/>
      <w:lvlText w:val="%1"/>
      <w:lvlJc w:val="left"/>
      <w:pPr>
        <w:ind w:left="432" w:hanging="432"/>
      </w:pPr>
    </w:lvl>
    <w:lvl w:ilvl="1">
      <w:start w:val="1"/>
      <w:numFmt w:val="decimal"/>
      <w:pStyle w:val="Heading2"/>
      <w:lvlText w:val="%1.%2"/>
      <w:lvlJc w:val="left"/>
      <w:pPr>
        <w:ind w:left="8232" w:hanging="576"/>
      </w:pPr>
    </w:lvl>
    <w:lvl w:ilvl="2">
      <w:start w:val="1"/>
      <w:numFmt w:val="decimal"/>
      <w:pStyle w:val="Heading3"/>
      <w:lvlText w:val="%1.%2.%3"/>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5EDD7FDD"/>
    <w:multiLevelType w:val="hybridMultilevel"/>
    <w:tmpl w:val="1F044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F017ED"/>
    <w:multiLevelType w:val="hybridMultilevel"/>
    <w:tmpl w:val="282C9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7839C8"/>
    <w:multiLevelType w:val="hybridMultilevel"/>
    <w:tmpl w:val="E876A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9E6BB3"/>
    <w:multiLevelType w:val="hybridMultilevel"/>
    <w:tmpl w:val="253EFFC0"/>
    <w:lvl w:ilvl="0" w:tplc="1B54E580">
      <w:start w:val="1"/>
      <w:numFmt w:val="bullet"/>
      <w:pStyle w:val="ListBullet3"/>
      <w:lvlText w:val=""/>
      <w:lvlJc w:val="left"/>
      <w:pPr>
        <w:ind w:left="1080" w:hanging="360"/>
      </w:pPr>
      <w:rPr>
        <w:rFonts w:ascii="Wingdings 2" w:hAnsi="Wingdings 2"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29"/>
  </w:num>
  <w:num w:numId="4">
    <w:abstractNumId w:val="16"/>
  </w:num>
  <w:num w:numId="5">
    <w:abstractNumId w:val="24"/>
  </w:num>
  <w:num w:numId="6">
    <w:abstractNumId w:val="27"/>
  </w:num>
  <w:num w:numId="7">
    <w:abstractNumId w:val="6"/>
  </w:num>
  <w:num w:numId="8">
    <w:abstractNumId w:val="21"/>
  </w:num>
  <w:num w:numId="9">
    <w:abstractNumId w:val="9"/>
  </w:num>
  <w:num w:numId="10">
    <w:abstractNumId w:val="28"/>
  </w:num>
  <w:num w:numId="11">
    <w:abstractNumId w:val="2"/>
  </w:num>
  <w:num w:numId="12">
    <w:abstractNumId w:val="13"/>
  </w:num>
  <w:num w:numId="13">
    <w:abstractNumId w:val="19"/>
  </w:num>
  <w:num w:numId="14">
    <w:abstractNumId w:val="8"/>
  </w:num>
  <w:num w:numId="15">
    <w:abstractNumId w:val="23"/>
  </w:num>
  <w:num w:numId="16">
    <w:abstractNumId w:val="26"/>
  </w:num>
  <w:num w:numId="17">
    <w:abstractNumId w:val="3"/>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0"/>
  </w:num>
  <w:num w:numId="21">
    <w:abstractNumId w:val="10"/>
  </w:num>
  <w:num w:numId="22">
    <w:abstractNumId w:val="7"/>
  </w:num>
  <w:num w:numId="23">
    <w:abstractNumId w:val="12"/>
  </w:num>
  <w:num w:numId="24">
    <w:abstractNumId w:val="5"/>
  </w:num>
  <w:num w:numId="25">
    <w:abstractNumId w:val="22"/>
  </w:num>
  <w:num w:numId="26">
    <w:abstractNumId w:val="14"/>
  </w:num>
  <w:num w:numId="27">
    <w:abstractNumId w:val="11"/>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
  </w:num>
  <w:num w:numId="31">
    <w:abstractNumId w:val="0"/>
  </w:num>
  <w:num w:numId="32">
    <w:abstractNumId w:val="11"/>
    <w:lvlOverride w:ilvl="0">
      <w:startOverride w:val="1"/>
    </w:lvlOverride>
  </w:num>
  <w:num w:numId="33">
    <w:abstractNumId w:val="24"/>
  </w:num>
  <w:num w:numId="34">
    <w:abstractNumId w:val="24"/>
  </w:num>
  <w:num w:numId="35">
    <w:abstractNumId w:val="24"/>
  </w:num>
  <w:num w:numId="36">
    <w:abstractNumId w:val="24"/>
  </w:num>
  <w:num w:numId="37">
    <w:abstractNumId w:val="18"/>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1"/>
    <w:lvlOverride w:ilvl="0">
      <w:startOverride w:val="1"/>
    </w:lvlOverride>
  </w:num>
  <w:num w:numId="4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D4E"/>
    <w:rsid w:val="00001703"/>
    <w:rsid w:val="0000301C"/>
    <w:rsid w:val="00004ADC"/>
    <w:rsid w:val="0000586B"/>
    <w:rsid w:val="0000699A"/>
    <w:rsid w:val="00006A2A"/>
    <w:rsid w:val="000127FC"/>
    <w:rsid w:val="00012E41"/>
    <w:rsid w:val="000144C5"/>
    <w:rsid w:val="000147E8"/>
    <w:rsid w:val="00015990"/>
    <w:rsid w:val="00015C40"/>
    <w:rsid w:val="000175B0"/>
    <w:rsid w:val="0001775E"/>
    <w:rsid w:val="0002100E"/>
    <w:rsid w:val="000215D6"/>
    <w:rsid w:val="0002213F"/>
    <w:rsid w:val="0002274B"/>
    <w:rsid w:val="00022837"/>
    <w:rsid w:val="000233F5"/>
    <w:rsid w:val="00026E15"/>
    <w:rsid w:val="00026EFC"/>
    <w:rsid w:val="000278A9"/>
    <w:rsid w:val="00027EA2"/>
    <w:rsid w:val="00030622"/>
    <w:rsid w:val="00030CED"/>
    <w:rsid w:val="000311F2"/>
    <w:rsid w:val="00032608"/>
    <w:rsid w:val="00033A23"/>
    <w:rsid w:val="000341E9"/>
    <w:rsid w:val="0003641F"/>
    <w:rsid w:val="00036A21"/>
    <w:rsid w:val="00036FB7"/>
    <w:rsid w:val="000412AB"/>
    <w:rsid w:val="000417F1"/>
    <w:rsid w:val="00042890"/>
    <w:rsid w:val="00043637"/>
    <w:rsid w:val="0004725B"/>
    <w:rsid w:val="0005195C"/>
    <w:rsid w:val="00053477"/>
    <w:rsid w:val="00053A2E"/>
    <w:rsid w:val="0005507D"/>
    <w:rsid w:val="00055847"/>
    <w:rsid w:val="00055BFA"/>
    <w:rsid w:val="000569C7"/>
    <w:rsid w:val="00056CDB"/>
    <w:rsid w:val="00057372"/>
    <w:rsid w:val="00061A39"/>
    <w:rsid w:val="000636E3"/>
    <w:rsid w:val="00065C68"/>
    <w:rsid w:val="00065EB3"/>
    <w:rsid w:val="000665B9"/>
    <w:rsid w:val="00066DB7"/>
    <w:rsid w:val="000672D7"/>
    <w:rsid w:val="000673A2"/>
    <w:rsid w:val="000674F2"/>
    <w:rsid w:val="0007029E"/>
    <w:rsid w:val="000717BB"/>
    <w:rsid w:val="000718F1"/>
    <w:rsid w:val="000719BE"/>
    <w:rsid w:val="0007540D"/>
    <w:rsid w:val="0008069B"/>
    <w:rsid w:val="000808A2"/>
    <w:rsid w:val="000827C6"/>
    <w:rsid w:val="000837BA"/>
    <w:rsid w:val="000857CE"/>
    <w:rsid w:val="00085807"/>
    <w:rsid w:val="00085896"/>
    <w:rsid w:val="00087985"/>
    <w:rsid w:val="00090989"/>
    <w:rsid w:val="00091395"/>
    <w:rsid w:val="000918CB"/>
    <w:rsid w:val="00092EA0"/>
    <w:rsid w:val="00092F61"/>
    <w:rsid w:val="00093C5F"/>
    <w:rsid w:val="00094870"/>
    <w:rsid w:val="00094E97"/>
    <w:rsid w:val="00094FD7"/>
    <w:rsid w:val="0009544E"/>
    <w:rsid w:val="00095BAD"/>
    <w:rsid w:val="000A047C"/>
    <w:rsid w:val="000A04E1"/>
    <w:rsid w:val="000A1D6D"/>
    <w:rsid w:val="000A2BB5"/>
    <w:rsid w:val="000A3DEE"/>
    <w:rsid w:val="000A5ED2"/>
    <w:rsid w:val="000A6101"/>
    <w:rsid w:val="000A6E7E"/>
    <w:rsid w:val="000A7239"/>
    <w:rsid w:val="000A7E34"/>
    <w:rsid w:val="000B000D"/>
    <w:rsid w:val="000B072F"/>
    <w:rsid w:val="000B15E0"/>
    <w:rsid w:val="000B16DC"/>
    <w:rsid w:val="000B17D3"/>
    <w:rsid w:val="000B6F3E"/>
    <w:rsid w:val="000B73EA"/>
    <w:rsid w:val="000B744B"/>
    <w:rsid w:val="000C05AE"/>
    <w:rsid w:val="000C1444"/>
    <w:rsid w:val="000C1446"/>
    <w:rsid w:val="000C35EE"/>
    <w:rsid w:val="000C5821"/>
    <w:rsid w:val="000C5894"/>
    <w:rsid w:val="000C64E0"/>
    <w:rsid w:val="000C7606"/>
    <w:rsid w:val="000C7C44"/>
    <w:rsid w:val="000D03C1"/>
    <w:rsid w:val="000D166E"/>
    <w:rsid w:val="000D1E2B"/>
    <w:rsid w:val="000D1ECF"/>
    <w:rsid w:val="000D2390"/>
    <w:rsid w:val="000D3A49"/>
    <w:rsid w:val="000D4C8B"/>
    <w:rsid w:val="000D4F17"/>
    <w:rsid w:val="000D6297"/>
    <w:rsid w:val="000D660E"/>
    <w:rsid w:val="000D7B29"/>
    <w:rsid w:val="000E03C1"/>
    <w:rsid w:val="000E13D9"/>
    <w:rsid w:val="000E289B"/>
    <w:rsid w:val="000E3AED"/>
    <w:rsid w:val="000E40DA"/>
    <w:rsid w:val="000E4753"/>
    <w:rsid w:val="000E4D61"/>
    <w:rsid w:val="000E6295"/>
    <w:rsid w:val="000F0132"/>
    <w:rsid w:val="000F3D63"/>
    <w:rsid w:val="000F4C22"/>
    <w:rsid w:val="000F5306"/>
    <w:rsid w:val="000F562C"/>
    <w:rsid w:val="000F56B7"/>
    <w:rsid w:val="000F7CBD"/>
    <w:rsid w:val="0010028E"/>
    <w:rsid w:val="00100808"/>
    <w:rsid w:val="00100B93"/>
    <w:rsid w:val="0010278A"/>
    <w:rsid w:val="00104361"/>
    <w:rsid w:val="00104ECA"/>
    <w:rsid w:val="00105504"/>
    <w:rsid w:val="00105CD4"/>
    <w:rsid w:val="001061B1"/>
    <w:rsid w:val="0010775A"/>
    <w:rsid w:val="00107A54"/>
    <w:rsid w:val="001112EE"/>
    <w:rsid w:val="00112173"/>
    <w:rsid w:val="00112AF3"/>
    <w:rsid w:val="001138A5"/>
    <w:rsid w:val="001138C4"/>
    <w:rsid w:val="00114153"/>
    <w:rsid w:val="001153C7"/>
    <w:rsid w:val="0011734E"/>
    <w:rsid w:val="00117394"/>
    <w:rsid w:val="001216F5"/>
    <w:rsid w:val="00122BA8"/>
    <w:rsid w:val="00122F34"/>
    <w:rsid w:val="00126BE5"/>
    <w:rsid w:val="00127152"/>
    <w:rsid w:val="00127581"/>
    <w:rsid w:val="0012772C"/>
    <w:rsid w:val="00127EEE"/>
    <w:rsid w:val="00130355"/>
    <w:rsid w:val="00130B32"/>
    <w:rsid w:val="001312C9"/>
    <w:rsid w:val="00132ACF"/>
    <w:rsid w:val="00132B8C"/>
    <w:rsid w:val="00137333"/>
    <w:rsid w:val="0014041B"/>
    <w:rsid w:val="001404D9"/>
    <w:rsid w:val="00140F24"/>
    <w:rsid w:val="00141204"/>
    <w:rsid w:val="00143C5D"/>
    <w:rsid w:val="00143EEF"/>
    <w:rsid w:val="00143F19"/>
    <w:rsid w:val="00144025"/>
    <w:rsid w:val="0014458C"/>
    <w:rsid w:val="00145E48"/>
    <w:rsid w:val="00146021"/>
    <w:rsid w:val="00147879"/>
    <w:rsid w:val="00150AF9"/>
    <w:rsid w:val="00150D52"/>
    <w:rsid w:val="001517C0"/>
    <w:rsid w:val="0015188A"/>
    <w:rsid w:val="0015191E"/>
    <w:rsid w:val="00151EE6"/>
    <w:rsid w:val="0015289F"/>
    <w:rsid w:val="001533B2"/>
    <w:rsid w:val="00154EC7"/>
    <w:rsid w:val="00156C43"/>
    <w:rsid w:val="00156EEA"/>
    <w:rsid w:val="001570D8"/>
    <w:rsid w:val="00157382"/>
    <w:rsid w:val="001579A3"/>
    <w:rsid w:val="00160E8F"/>
    <w:rsid w:val="00162BA3"/>
    <w:rsid w:val="001631F3"/>
    <w:rsid w:val="00163457"/>
    <w:rsid w:val="0016374F"/>
    <w:rsid w:val="001638FC"/>
    <w:rsid w:val="00164E37"/>
    <w:rsid w:val="00165BA1"/>
    <w:rsid w:val="00165DE0"/>
    <w:rsid w:val="00166D4E"/>
    <w:rsid w:val="00170442"/>
    <w:rsid w:val="00170492"/>
    <w:rsid w:val="00171883"/>
    <w:rsid w:val="00171ECD"/>
    <w:rsid w:val="00172A45"/>
    <w:rsid w:val="00173456"/>
    <w:rsid w:val="001737A8"/>
    <w:rsid w:val="00175791"/>
    <w:rsid w:val="00175C50"/>
    <w:rsid w:val="0017616E"/>
    <w:rsid w:val="001761BF"/>
    <w:rsid w:val="00176B74"/>
    <w:rsid w:val="00177534"/>
    <w:rsid w:val="00180464"/>
    <w:rsid w:val="00180E39"/>
    <w:rsid w:val="00180F07"/>
    <w:rsid w:val="0018115E"/>
    <w:rsid w:val="001817C8"/>
    <w:rsid w:val="00182037"/>
    <w:rsid w:val="00182EBC"/>
    <w:rsid w:val="00183897"/>
    <w:rsid w:val="0018487E"/>
    <w:rsid w:val="00185B6C"/>
    <w:rsid w:val="00185B86"/>
    <w:rsid w:val="0018726F"/>
    <w:rsid w:val="001901FC"/>
    <w:rsid w:val="00192BA1"/>
    <w:rsid w:val="00192F95"/>
    <w:rsid w:val="00193413"/>
    <w:rsid w:val="001947F5"/>
    <w:rsid w:val="001949F5"/>
    <w:rsid w:val="00194BB2"/>
    <w:rsid w:val="001952F0"/>
    <w:rsid w:val="001A3C9C"/>
    <w:rsid w:val="001A6AA3"/>
    <w:rsid w:val="001A6BAF"/>
    <w:rsid w:val="001B02BF"/>
    <w:rsid w:val="001B18C2"/>
    <w:rsid w:val="001B1AD7"/>
    <w:rsid w:val="001B246D"/>
    <w:rsid w:val="001B5014"/>
    <w:rsid w:val="001B5EAF"/>
    <w:rsid w:val="001B6DA5"/>
    <w:rsid w:val="001B7CB8"/>
    <w:rsid w:val="001C2632"/>
    <w:rsid w:val="001C28CC"/>
    <w:rsid w:val="001C2ED4"/>
    <w:rsid w:val="001C5218"/>
    <w:rsid w:val="001C6273"/>
    <w:rsid w:val="001C6A32"/>
    <w:rsid w:val="001C6BA0"/>
    <w:rsid w:val="001C73C5"/>
    <w:rsid w:val="001D1611"/>
    <w:rsid w:val="001D3919"/>
    <w:rsid w:val="001D3BEB"/>
    <w:rsid w:val="001D417D"/>
    <w:rsid w:val="001D4938"/>
    <w:rsid w:val="001D5F6B"/>
    <w:rsid w:val="001E0478"/>
    <w:rsid w:val="001E05F2"/>
    <w:rsid w:val="001E22DB"/>
    <w:rsid w:val="001E26F7"/>
    <w:rsid w:val="001E376A"/>
    <w:rsid w:val="001E4F3F"/>
    <w:rsid w:val="001E5655"/>
    <w:rsid w:val="001E7B53"/>
    <w:rsid w:val="001F1372"/>
    <w:rsid w:val="001F40C9"/>
    <w:rsid w:val="001F567F"/>
    <w:rsid w:val="001F58C6"/>
    <w:rsid w:val="001F7210"/>
    <w:rsid w:val="001F7631"/>
    <w:rsid w:val="00200A73"/>
    <w:rsid w:val="002016B9"/>
    <w:rsid w:val="00201B6B"/>
    <w:rsid w:val="00203058"/>
    <w:rsid w:val="002034FA"/>
    <w:rsid w:val="00207FA4"/>
    <w:rsid w:val="0021037F"/>
    <w:rsid w:val="00210646"/>
    <w:rsid w:val="00212148"/>
    <w:rsid w:val="00212615"/>
    <w:rsid w:val="0021478F"/>
    <w:rsid w:val="00215C89"/>
    <w:rsid w:val="00215D80"/>
    <w:rsid w:val="00216DF7"/>
    <w:rsid w:val="002179FA"/>
    <w:rsid w:val="0022012F"/>
    <w:rsid w:val="0022116E"/>
    <w:rsid w:val="00222BD8"/>
    <w:rsid w:val="00222CDA"/>
    <w:rsid w:val="00223AD8"/>
    <w:rsid w:val="00224DEE"/>
    <w:rsid w:val="00225FBE"/>
    <w:rsid w:val="002263A9"/>
    <w:rsid w:val="002265D5"/>
    <w:rsid w:val="00231696"/>
    <w:rsid w:val="002325E3"/>
    <w:rsid w:val="00234663"/>
    <w:rsid w:val="00235276"/>
    <w:rsid w:val="0024002E"/>
    <w:rsid w:val="00243D97"/>
    <w:rsid w:val="00244F8D"/>
    <w:rsid w:val="00246B36"/>
    <w:rsid w:val="00253BF1"/>
    <w:rsid w:val="002542E5"/>
    <w:rsid w:val="0025487A"/>
    <w:rsid w:val="00255629"/>
    <w:rsid w:val="0025630B"/>
    <w:rsid w:val="00256E51"/>
    <w:rsid w:val="0025793E"/>
    <w:rsid w:val="00257A90"/>
    <w:rsid w:val="00260417"/>
    <w:rsid w:val="00261D9E"/>
    <w:rsid w:val="0026212F"/>
    <w:rsid w:val="00262B59"/>
    <w:rsid w:val="00262E59"/>
    <w:rsid w:val="002644AB"/>
    <w:rsid w:val="00265397"/>
    <w:rsid w:val="00265F35"/>
    <w:rsid w:val="00267F72"/>
    <w:rsid w:val="00270255"/>
    <w:rsid w:val="00271400"/>
    <w:rsid w:val="0027175A"/>
    <w:rsid w:val="002722B4"/>
    <w:rsid w:val="00273BE2"/>
    <w:rsid w:val="00276749"/>
    <w:rsid w:val="00276DA1"/>
    <w:rsid w:val="00280531"/>
    <w:rsid w:val="00280BDB"/>
    <w:rsid w:val="00281A99"/>
    <w:rsid w:val="00284E35"/>
    <w:rsid w:val="0028523D"/>
    <w:rsid w:val="00285CDB"/>
    <w:rsid w:val="00287A5B"/>
    <w:rsid w:val="0029161E"/>
    <w:rsid w:val="00293686"/>
    <w:rsid w:val="002938DA"/>
    <w:rsid w:val="00293A96"/>
    <w:rsid w:val="00293E50"/>
    <w:rsid w:val="00294179"/>
    <w:rsid w:val="00295697"/>
    <w:rsid w:val="002A07F2"/>
    <w:rsid w:val="002A0961"/>
    <w:rsid w:val="002A10FB"/>
    <w:rsid w:val="002A161F"/>
    <w:rsid w:val="002A362B"/>
    <w:rsid w:val="002A52FE"/>
    <w:rsid w:val="002A5859"/>
    <w:rsid w:val="002A5FDF"/>
    <w:rsid w:val="002B0CB2"/>
    <w:rsid w:val="002B0F5F"/>
    <w:rsid w:val="002B1D69"/>
    <w:rsid w:val="002B1E24"/>
    <w:rsid w:val="002B45B5"/>
    <w:rsid w:val="002B5CDD"/>
    <w:rsid w:val="002B5F81"/>
    <w:rsid w:val="002B602B"/>
    <w:rsid w:val="002B67CE"/>
    <w:rsid w:val="002B6901"/>
    <w:rsid w:val="002C0689"/>
    <w:rsid w:val="002C0FAD"/>
    <w:rsid w:val="002C13BF"/>
    <w:rsid w:val="002C2D68"/>
    <w:rsid w:val="002C3BFC"/>
    <w:rsid w:val="002C3FEC"/>
    <w:rsid w:val="002C54CA"/>
    <w:rsid w:val="002C6076"/>
    <w:rsid w:val="002C744B"/>
    <w:rsid w:val="002D0CBD"/>
    <w:rsid w:val="002D1463"/>
    <w:rsid w:val="002D3C29"/>
    <w:rsid w:val="002D5293"/>
    <w:rsid w:val="002D6FF0"/>
    <w:rsid w:val="002D73A6"/>
    <w:rsid w:val="002D7614"/>
    <w:rsid w:val="002E1002"/>
    <w:rsid w:val="002E1683"/>
    <w:rsid w:val="002E2234"/>
    <w:rsid w:val="002E3A03"/>
    <w:rsid w:val="002E4591"/>
    <w:rsid w:val="002E5374"/>
    <w:rsid w:val="002E5455"/>
    <w:rsid w:val="002E7254"/>
    <w:rsid w:val="002F2228"/>
    <w:rsid w:val="002F6686"/>
    <w:rsid w:val="002F6A25"/>
    <w:rsid w:val="003000A3"/>
    <w:rsid w:val="0030137C"/>
    <w:rsid w:val="00301731"/>
    <w:rsid w:val="00301E68"/>
    <w:rsid w:val="00302935"/>
    <w:rsid w:val="0030504A"/>
    <w:rsid w:val="00306BCC"/>
    <w:rsid w:val="003100A4"/>
    <w:rsid w:val="00310EA5"/>
    <w:rsid w:val="00311BF4"/>
    <w:rsid w:val="003121CA"/>
    <w:rsid w:val="003130BF"/>
    <w:rsid w:val="00313D0E"/>
    <w:rsid w:val="00315078"/>
    <w:rsid w:val="0031535C"/>
    <w:rsid w:val="003156B8"/>
    <w:rsid w:val="0031624D"/>
    <w:rsid w:val="00317102"/>
    <w:rsid w:val="0031713D"/>
    <w:rsid w:val="00317E50"/>
    <w:rsid w:val="0032014D"/>
    <w:rsid w:val="003204C4"/>
    <w:rsid w:val="00320F59"/>
    <w:rsid w:val="00320FCC"/>
    <w:rsid w:val="00322DFD"/>
    <w:rsid w:val="00323090"/>
    <w:rsid w:val="0032479B"/>
    <w:rsid w:val="00325E4C"/>
    <w:rsid w:val="00326471"/>
    <w:rsid w:val="00332EE8"/>
    <w:rsid w:val="00333504"/>
    <w:rsid w:val="00333C9F"/>
    <w:rsid w:val="00334012"/>
    <w:rsid w:val="00334EC6"/>
    <w:rsid w:val="003357C9"/>
    <w:rsid w:val="003357F1"/>
    <w:rsid w:val="00337C5A"/>
    <w:rsid w:val="00337D0D"/>
    <w:rsid w:val="00337ECA"/>
    <w:rsid w:val="003423B5"/>
    <w:rsid w:val="00343785"/>
    <w:rsid w:val="00346EBA"/>
    <w:rsid w:val="00347BED"/>
    <w:rsid w:val="003502CE"/>
    <w:rsid w:val="003514CF"/>
    <w:rsid w:val="0035160E"/>
    <w:rsid w:val="00352628"/>
    <w:rsid w:val="00352FBB"/>
    <w:rsid w:val="00352FF7"/>
    <w:rsid w:val="003530BC"/>
    <w:rsid w:val="003566B7"/>
    <w:rsid w:val="00357881"/>
    <w:rsid w:val="00357F90"/>
    <w:rsid w:val="00363D54"/>
    <w:rsid w:val="00364704"/>
    <w:rsid w:val="00365D61"/>
    <w:rsid w:val="00365F0A"/>
    <w:rsid w:val="003660E0"/>
    <w:rsid w:val="00367BA1"/>
    <w:rsid w:val="00367F80"/>
    <w:rsid w:val="003711E1"/>
    <w:rsid w:val="0037152E"/>
    <w:rsid w:val="00371661"/>
    <w:rsid w:val="003721C0"/>
    <w:rsid w:val="00372465"/>
    <w:rsid w:val="00372ECD"/>
    <w:rsid w:val="0037315D"/>
    <w:rsid w:val="00373C99"/>
    <w:rsid w:val="003759A1"/>
    <w:rsid w:val="003763F7"/>
    <w:rsid w:val="003771AC"/>
    <w:rsid w:val="003775BC"/>
    <w:rsid w:val="00380752"/>
    <w:rsid w:val="00381914"/>
    <w:rsid w:val="00381EA6"/>
    <w:rsid w:val="003824E4"/>
    <w:rsid w:val="00385335"/>
    <w:rsid w:val="003857DF"/>
    <w:rsid w:val="00386987"/>
    <w:rsid w:val="00386A96"/>
    <w:rsid w:val="0038750B"/>
    <w:rsid w:val="0039111C"/>
    <w:rsid w:val="00393FA7"/>
    <w:rsid w:val="003947AA"/>
    <w:rsid w:val="00394828"/>
    <w:rsid w:val="00395E4C"/>
    <w:rsid w:val="00396ABD"/>
    <w:rsid w:val="00397873"/>
    <w:rsid w:val="00397D4E"/>
    <w:rsid w:val="003A1010"/>
    <w:rsid w:val="003A1AB8"/>
    <w:rsid w:val="003A3B81"/>
    <w:rsid w:val="003A412D"/>
    <w:rsid w:val="003A4FB2"/>
    <w:rsid w:val="003A52E5"/>
    <w:rsid w:val="003A636D"/>
    <w:rsid w:val="003A7C80"/>
    <w:rsid w:val="003B04AC"/>
    <w:rsid w:val="003B2D69"/>
    <w:rsid w:val="003B3275"/>
    <w:rsid w:val="003B35E3"/>
    <w:rsid w:val="003B43DE"/>
    <w:rsid w:val="003B5848"/>
    <w:rsid w:val="003B65DD"/>
    <w:rsid w:val="003C0044"/>
    <w:rsid w:val="003C0167"/>
    <w:rsid w:val="003C0803"/>
    <w:rsid w:val="003C0F0A"/>
    <w:rsid w:val="003C1DFF"/>
    <w:rsid w:val="003C33D1"/>
    <w:rsid w:val="003C397B"/>
    <w:rsid w:val="003C3CE3"/>
    <w:rsid w:val="003C4C21"/>
    <w:rsid w:val="003C70EF"/>
    <w:rsid w:val="003D0C05"/>
    <w:rsid w:val="003D17AA"/>
    <w:rsid w:val="003D2D66"/>
    <w:rsid w:val="003D2F88"/>
    <w:rsid w:val="003D3B4D"/>
    <w:rsid w:val="003D50B0"/>
    <w:rsid w:val="003D513A"/>
    <w:rsid w:val="003D6EFD"/>
    <w:rsid w:val="003D7D16"/>
    <w:rsid w:val="003D7F71"/>
    <w:rsid w:val="003D7FDC"/>
    <w:rsid w:val="003E0A62"/>
    <w:rsid w:val="003E0C48"/>
    <w:rsid w:val="003E0D24"/>
    <w:rsid w:val="003E18EF"/>
    <w:rsid w:val="003E1951"/>
    <w:rsid w:val="003E2AF9"/>
    <w:rsid w:val="003E3FB4"/>
    <w:rsid w:val="003E451C"/>
    <w:rsid w:val="003E4F66"/>
    <w:rsid w:val="003E5633"/>
    <w:rsid w:val="003E6B0B"/>
    <w:rsid w:val="003E6E9A"/>
    <w:rsid w:val="003F05DD"/>
    <w:rsid w:val="003F4705"/>
    <w:rsid w:val="003F7520"/>
    <w:rsid w:val="00400CE5"/>
    <w:rsid w:val="0040138B"/>
    <w:rsid w:val="00402E83"/>
    <w:rsid w:val="004035CF"/>
    <w:rsid w:val="00405062"/>
    <w:rsid w:val="00406CE0"/>
    <w:rsid w:val="00407392"/>
    <w:rsid w:val="004104E7"/>
    <w:rsid w:val="00410845"/>
    <w:rsid w:val="00410EA1"/>
    <w:rsid w:val="0041141B"/>
    <w:rsid w:val="00413A4D"/>
    <w:rsid w:val="00414CFC"/>
    <w:rsid w:val="00415930"/>
    <w:rsid w:val="004235C2"/>
    <w:rsid w:val="004241E4"/>
    <w:rsid w:val="004241ED"/>
    <w:rsid w:val="00424B90"/>
    <w:rsid w:val="0043021D"/>
    <w:rsid w:val="00430344"/>
    <w:rsid w:val="004368BF"/>
    <w:rsid w:val="00436996"/>
    <w:rsid w:val="004379B4"/>
    <w:rsid w:val="00437BCF"/>
    <w:rsid w:val="00440EBA"/>
    <w:rsid w:val="004412AA"/>
    <w:rsid w:val="00441621"/>
    <w:rsid w:val="00441993"/>
    <w:rsid w:val="0044293C"/>
    <w:rsid w:val="004435C2"/>
    <w:rsid w:val="00444A37"/>
    <w:rsid w:val="00445ED4"/>
    <w:rsid w:val="00451ECC"/>
    <w:rsid w:val="00452FB9"/>
    <w:rsid w:val="004539C6"/>
    <w:rsid w:val="00453F68"/>
    <w:rsid w:val="00455E3B"/>
    <w:rsid w:val="00457935"/>
    <w:rsid w:val="00457EB0"/>
    <w:rsid w:val="004612BB"/>
    <w:rsid w:val="00461439"/>
    <w:rsid w:val="00461779"/>
    <w:rsid w:val="00461791"/>
    <w:rsid w:val="00461D6D"/>
    <w:rsid w:val="004627D9"/>
    <w:rsid w:val="00462E20"/>
    <w:rsid w:val="00463DEC"/>
    <w:rsid w:val="00463FC0"/>
    <w:rsid w:val="00464DDC"/>
    <w:rsid w:val="00465C25"/>
    <w:rsid w:val="00467DC9"/>
    <w:rsid w:val="00467EB6"/>
    <w:rsid w:val="00470D98"/>
    <w:rsid w:val="00471CAA"/>
    <w:rsid w:val="00472118"/>
    <w:rsid w:val="00472D97"/>
    <w:rsid w:val="00473DA4"/>
    <w:rsid w:val="00474291"/>
    <w:rsid w:val="004759B1"/>
    <w:rsid w:val="00475A6A"/>
    <w:rsid w:val="00477370"/>
    <w:rsid w:val="0048074C"/>
    <w:rsid w:val="00481A81"/>
    <w:rsid w:val="00481AC5"/>
    <w:rsid w:val="00481FD1"/>
    <w:rsid w:val="004829F5"/>
    <w:rsid w:val="004872B0"/>
    <w:rsid w:val="0049464F"/>
    <w:rsid w:val="00495293"/>
    <w:rsid w:val="00495416"/>
    <w:rsid w:val="004A03E9"/>
    <w:rsid w:val="004A05A8"/>
    <w:rsid w:val="004A168D"/>
    <w:rsid w:val="004A1981"/>
    <w:rsid w:val="004A22B3"/>
    <w:rsid w:val="004A4699"/>
    <w:rsid w:val="004A57CD"/>
    <w:rsid w:val="004A5FBE"/>
    <w:rsid w:val="004A7242"/>
    <w:rsid w:val="004A7A71"/>
    <w:rsid w:val="004B0630"/>
    <w:rsid w:val="004B10AA"/>
    <w:rsid w:val="004B196C"/>
    <w:rsid w:val="004B2935"/>
    <w:rsid w:val="004B3403"/>
    <w:rsid w:val="004B5FD1"/>
    <w:rsid w:val="004B70B7"/>
    <w:rsid w:val="004C1C66"/>
    <w:rsid w:val="004C2520"/>
    <w:rsid w:val="004C2B53"/>
    <w:rsid w:val="004C55A1"/>
    <w:rsid w:val="004C72F4"/>
    <w:rsid w:val="004C7422"/>
    <w:rsid w:val="004D02DB"/>
    <w:rsid w:val="004D2186"/>
    <w:rsid w:val="004D28B9"/>
    <w:rsid w:val="004D3898"/>
    <w:rsid w:val="004D575B"/>
    <w:rsid w:val="004D58A9"/>
    <w:rsid w:val="004D69C8"/>
    <w:rsid w:val="004D78F7"/>
    <w:rsid w:val="004E11B9"/>
    <w:rsid w:val="004E1765"/>
    <w:rsid w:val="004E3317"/>
    <w:rsid w:val="004E33F5"/>
    <w:rsid w:val="004E75A4"/>
    <w:rsid w:val="004E7A4D"/>
    <w:rsid w:val="004F2CF2"/>
    <w:rsid w:val="004F4D59"/>
    <w:rsid w:val="004F5873"/>
    <w:rsid w:val="004F6493"/>
    <w:rsid w:val="0050445F"/>
    <w:rsid w:val="005045F8"/>
    <w:rsid w:val="00504B02"/>
    <w:rsid w:val="00504DBF"/>
    <w:rsid w:val="00506196"/>
    <w:rsid w:val="0050643D"/>
    <w:rsid w:val="0050674C"/>
    <w:rsid w:val="00512071"/>
    <w:rsid w:val="005120D3"/>
    <w:rsid w:val="00513144"/>
    <w:rsid w:val="00513801"/>
    <w:rsid w:val="00513C03"/>
    <w:rsid w:val="00515AFA"/>
    <w:rsid w:val="0051625B"/>
    <w:rsid w:val="0051644C"/>
    <w:rsid w:val="00517362"/>
    <w:rsid w:val="00521E89"/>
    <w:rsid w:val="0052497E"/>
    <w:rsid w:val="00525BA8"/>
    <w:rsid w:val="0052712E"/>
    <w:rsid w:val="00527BF0"/>
    <w:rsid w:val="00532A89"/>
    <w:rsid w:val="00532AAE"/>
    <w:rsid w:val="00534046"/>
    <w:rsid w:val="00534262"/>
    <w:rsid w:val="00537CEA"/>
    <w:rsid w:val="00540712"/>
    <w:rsid w:val="00541472"/>
    <w:rsid w:val="00541A8B"/>
    <w:rsid w:val="005425EE"/>
    <w:rsid w:val="00542889"/>
    <w:rsid w:val="00543A7E"/>
    <w:rsid w:val="00543CDD"/>
    <w:rsid w:val="00544039"/>
    <w:rsid w:val="00544D4A"/>
    <w:rsid w:val="00547031"/>
    <w:rsid w:val="00547619"/>
    <w:rsid w:val="005510CC"/>
    <w:rsid w:val="00551D5A"/>
    <w:rsid w:val="0055220A"/>
    <w:rsid w:val="00556297"/>
    <w:rsid w:val="005621EA"/>
    <w:rsid w:val="00562637"/>
    <w:rsid w:val="00564D5F"/>
    <w:rsid w:val="00565186"/>
    <w:rsid w:val="005656FC"/>
    <w:rsid w:val="005665AD"/>
    <w:rsid w:val="005666C3"/>
    <w:rsid w:val="0056715E"/>
    <w:rsid w:val="00570159"/>
    <w:rsid w:val="00570182"/>
    <w:rsid w:val="00570898"/>
    <w:rsid w:val="00570F29"/>
    <w:rsid w:val="00571754"/>
    <w:rsid w:val="00572E9D"/>
    <w:rsid w:val="00573173"/>
    <w:rsid w:val="005737DC"/>
    <w:rsid w:val="00575852"/>
    <w:rsid w:val="00580E25"/>
    <w:rsid w:val="00583871"/>
    <w:rsid w:val="00584FE2"/>
    <w:rsid w:val="0058565A"/>
    <w:rsid w:val="00585A38"/>
    <w:rsid w:val="00585CE7"/>
    <w:rsid w:val="00587FC9"/>
    <w:rsid w:val="00593234"/>
    <w:rsid w:val="005934E1"/>
    <w:rsid w:val="005945C6"/>
    <w:rsid w:val="00594FFD"/>
    <w:rsid w:val="005A0502"/>
    <w:rsid w:val="005A0E77"/>
    <w:rsid w:val="005A39D2"/>
    <w:rsid w:val="005A445C"/>
    <w:rsid w:val="005A4B0C"/>
    <w:rsid w:val="005A572D"/>
    <w:rsid w:val="005A5F01"/>
    <w:rsid w:val="005B0382"/>
    <w:rsid w:val="005B0B34"/>
    <w:rsid w:val="005B22FC"/>
    <w:rsid w:val="005B489F"/>
    <w:rsid w:val="005B7ECD"/>
    <w:rsid w:val="005C0335"/>
    <w:rsid w:val="005C06F1"/>
    <w:rsid w:val="005C1615"/>
    <w:rsid w:val="005C1C73"/>
    <w:rsid w:val="005C36A2"/>
    <w:rsid w:val="005C408E"/>
    <w:rsid w:val="005C453E"/>
    <w:rsid w:val="005C6152"/>
    <w:rsid w:val="005C69D4"/>
    <w:rsid w:val="005D122F"/>
    <w:rsid w:val="005D1BF4"/>
    <w:rsid w:val="005D3905"/>
    <w:rsid w:val="005D3A87"/>
    <w:rsid w:val="005D4FF6"/>
    <w:rsid w:val="005D517D"/>
    <w:rsid w:val="005D54AE"/>
    <w:rsid w:val="005D5584"/>
    <w:rsid w:val="005D5772"/>
    <w:rsid w:val="005D58BD"/>
    <w:rsid w:val="005D65BE"/>
    <w:rsid w:val="005D6A4F"/>
    <w:rsid w:val="005D7B9D"/>
    <w:rsid w:val="005E0098"/>
    <w:rsid w:val="005E3338"/>
    <w:rsid w:val="005E64AE"/>
    <w:rsid w:val="005E683E"/>
    <w:rsid w:val="005E6FF6"/>
    <w:rsid w:val="005E7EF6"/>
    <w:rsid w:val="005F1E31"/>
    <w:rsid w:val="005F299B"/>
    <w:rsid w:val="005F3456"/>
    <w:rsid w:val="005F4256"/>
    <w:rsid w:val="005F4C4A"/>
    <w:rsid w:val="005F568C"/>
    <w:rsid w:val="005F5D22"/>
    <w:rsid w:val="005F5F19"/>
    <w:rsid w:val="005F5F48"/>
    <w:rsid w:val="005F60F1"/>
    <w:rsid w:val="005F7B89"/>
    <w:rsid w:val="00601011"/>
    <w:rsid w:val="006011A8"/>
    <w:rsid w:val="00601ED5"/>
    <w:rsid w:val="00601F01"/>
    <w:rsid w:val="00602093"/>
    <w:rsid w:val="006029A8"/>
    <w:rsid w:val="00602A3D"/>
    <w:rsid w:val="006036B3"/>
    <w:rsid w:val="00603D7E"/>
    <w:rsid w:val="00605728"/>
    <w:rsid w:val="00606612"/>
    <w:rsid w:val="006071F9"/>
    <w:rsid w:val="00607F83"/>
    <w:rsid w:val="006105E5"/>
    <w:rsid w:val="006124A4"/>
    <w:rsid w:val="00612BE0"/>
    <w:rsid w:val="00613A23"/>
    <w:rsid w:val="00613D27"/>
    <w:rsid w:val="00613D5E"/>
    <w:rsid w:val="0061537D"/>
    <w:rsid w:val="00617E9D"/>
    <w:rsid w:val="0062030F"/>
    <w:rsid w:val="00621229"/>
    <w:rsid w:val="006215E0"/>
    <w:rsid w:val="0062230C"/>
    <w:rsid w:val="00626420"/>
    <w:rsid w:val="00627A94"/>
    <w:rsid w:val="00630B0F"/>
    <w:rsid w:val="00630E0D"/>
    <w:rsid w:val="006320BA"/>
    <w:rsid w:val="00636435"/>
    <w:rsid w:val="006368D4"/>
    <w:rsid w:val="0064089F"/>
    <w:rsid w:val="00640DE0"/>
    <w:rsid w:val="0064343D"/>
    <w:rsid w:val="00643CAA"/>
    <w:rsid w:val="00643F78"/>
    <w:rsid w:val="00645756"/>
    <w:rsid w:val="00645DAC"/>
    <w:rsid w:val="00645E97"/>
    <w:rsid w:val="006507E3"/>
    <w:rsid w:val="00651B25"/>
    <w:rsid w:val="0065251E"/>
    <w:rsid w:val="00653886"/>
    <w:rsid w:val="0065591C"/>
    <w:rsid w:val="00657450"/>
    <w:rsid w:val="00663236"/>
    <w:rsid w:val="00665287"/>
    <w:rsid w:val="00665917"/>
    <w:rsid w:val="00667741"/>
    <w:rsid w:val="00670839"/>
    <w:rsid w:val="00670AF5"/>
    <w:rsid w:val="00670CA8"/>
    <w:rsid w:val="00671FDA"/>
    <w:rsid w:val="0067341D"/>
    <w:rsid w:val="00673983"/>
    <w:rsid w:val="00674EF6"/>
    <w:rsid w:val="00676BDF"/>
    <w:rsid w:val="00677EA5"/>
    <w:rsid w:val="0068003E"/>
    <w:rsid w:val="00680846"/>
    <w:rsid w:val="006817EF"/>
    <w:rsid w:val="00682A6A"/>
    <w:rsid w:val="006842B3"/>
    <w:rsid w:val="00684710"/>
    <w:rsid w:val="00684E41"/>
    <w:rsid w:val="00685ECB"/>
    <w:rsid w:val="0068767B"/>
    <w:rsid w:val="00687B21"/>
    <w:rsid w:val="00687F4C"/>
    <w:rsid w:val="006906FF"/>
    <w:rsid w:val="00690B61"/>
    <w:rsid w:val="00690FC5"/>
    <w:rsid w:val="006939D8"/>
    <w:rsid w:val="00694AB2"/>
    <w:rsid w:val="00695B62"/>
    <w:rsid w:val="00695C12"/>
    <w:rsid w:val="0069623F"/>
    <w:rsid w:val="006A1C89"/>
    <w:rsid w:val="006A1DB0"/>
    <w:rsid w:val="006A20FC"/>
    <w:rsid w:val="006A3128"/>
    <w:rsid w:val="006A3F10"/>
    <w:rsid w:val="006A4625"/>
    <w:rsid w:val="006A6BED"/>
    <w:rsid w:val="006B08F4"/>
    <w:rsid w:val="006B4F51"/>
    <w:rsid w:val="006B567F"/>
    <w:rsid w:val="006B578D"/>
    <w:rsid w:val="006B5E3D"/>
    <w:rsid w:val="006B74E4"/>
    <w:rsid w:val="006C2404"/>
    <w:rsid w:val="006C3030"/>
    <w:rsid w:val="006C4BFC"/>
    <w:rsid w:val="006C4E62"/>
    <w:rsid w:val="006C5AC6"/>
    <w:rsid w:val="006C67FF"/>
    <w:rsid w:val="006C7D2C"/>
    <w:rsid w:val="006C7D31"/>
    <w:rsid w:val="006D154A"/>
    <w:rsid w:val="006D218C"/>
    <w:rsid w:val="006D2D1D"/>
    <w:rsid w:val="006D359B"/>
    <w:rsid w:val="006D4F30"/>
    <w:rsid w:val="006D7112"/>
    <w:rsid w:val="006D74CE"/>
    <w:rsid w:val="006D7696"/>
    <w:rsid w:val="006E10B5"/>
    <w:rsid w:val="006E1451"/>
    <w:rsid w:val="006E1655"/>
    <w:rsid w:val="006E2008"/>
    <w:rsid w:val="006E2439"/>
    <w:rsid w:val="006E2759"/>
    <w:rsid w:val="006E2985"/>
    <w:rsid w:val="006E2EB1"/>
    <w:rsid w:val="006E4131"/>
    <w:rsid w:val="006E4756"/>
    <w:rsid w:val="006E524A"/>
    <w:rsid w:val="006E618F"/>
    <w:rsid w:val="006E7A52"/>
    <w:rsid w:val="006E7D39"/>
    <w:rsid w:val="006F054F"/>
    <w:rsid w:val="006F1346"/>
    <w:rsid w:val="006F1D5B"/>
    <w:rsid w:val="006F33AF"/>
    <w:rsid w:val="006F475A"/>
    <w:rsid w:val="006F4B97"/>
    <w:rsid w:val="006F4F55"/>
    <w:rsid w:val="006F6844"/>
    <w:rsid w:val="006F7DD4"/>
    <w:rsid w:val="007000FA"/>
    <w:rsid w:val="00704CB9"/>
    <w:rsid w:val="007058AB"/>
    <w:rsid w:val="00706182"/>
    <w:rsid w:val="007062A7"/>
    <w:rsid w:val="00706993"/>
    <w:rsid w:val="00707EFE"/>
    <w:rsid w:val="007102F7"/>
    <w:rsid w:val="00710D5F"/>
    <w:rsid w:val="00711D8A"/>
    <w:rsid w:val="00712DC1"/>
    <w:rsid w:val="00713472"/>
    <w:rsid w:val="00714222"/>
    <w:rsid w:val="00715D17"/>
    <w:rsid w:val="0071783A"/>
    <w:rsid w:val="00720709"/>
    <w:rsid w:val="007207D2"/>
    <w:rsid w:val="0072206A"/>
    <w:rsid w:val="00723605"/>
    <w:rsid w:val="0072396D"/>
    <w:rsid w:val="00726EED"/>
    <w:rsid w:val="00726F7B"/>
    <w:rsid w:val="00730EFB"/>
    <w:rsid w:val="00731C63"/>
    <w:rsid w:val="00732956"/>
    <w:rsid w:val="00734E02"/>
    <w:rsid w:val="00735317"/>
    <w:rsid w:val="007367E5"/>
    <w:rsid w:val="00737CE2"/>
    <w:rsid w:val="00740343"/>
    <w:rsid w:val="007410AA"/>
    <w:rsid w:val="00741180"/>
    <w:rsid w:val="00741C42"/>
    <w:rsid w:val="007431BC"/>
    <w:rsid w:val="00744031"/>
    <w:rsid w:val="00744AD5"/>
    <w:rsid w:val="007450FA"/>
    <w:rsid w:val="00750799"/>
    <w:rsid w:val="007511DF"/>
    <w:rsid w:val="0075151D"/>
    <w:rsid w:val="00751D7C"/>
    <w:rsid w:val="00752616"/>
    <w:rsid w:val="00752CBB"/>
    <w:rsid w:val="007535D1"/>
    <w:rsid w:val="0075526E"/>
    <w:rsid w:val="00755D59"/>
    <w:rsid w:val="00755EF3"/>
    <w:rsid w:val="0075788E"/>
    <w:rsid w:val="007615DA"/>
    <w:rsid w:val="0076215D"/>
    <w:rsid w:val="00762673"/>
    <w:rsid w:val="007642C7"/>
    <w:rsid w:val="00770E71"/>
    <w:rsid w:val="00771219"/>
    <w:rsid w:val="00771585"/>
    <w:rsid w:val="0077347E"/>
    <w:rsid w:val="00774101"/>
    <w:rsid w:val="00774E93"/>
    <w:rsid w:val="00776D3B"/>
    <w:rsid w:val="00777E71"/>
    <w:rsid w:val="00780D5A"/>
    <w:rsid w:val="007816ED"/>
    <w:rsid w:val="0078342F"/>
    <w:rsid w:val="00783B19"/>
    <w:rsid w:val="00784E02"/>
    <w:rsid w:val="00785363"/>
    <w:rsid w:val="007859EF"/>
    <w:rsid w:val="0078702C"/>
    <w:rsid w:val="00787457"/>
    <w:rsid w:val="00787CA9"/>
    <w:rsid w:val="00792324"/>
    <w:rsid w:val="007931C7"/>
    <w:rsid w:val="00793BB0"/>
    <w:rsid w:val="007A3C96"/>
    <w:rsid w:val="007A5540"/>
    <w:rsid w:val="007A7BF6"/>
    <w:rsid w:val="007B0D99"/>
    <w:rsid w:val="007B0F78"/>
    <w:rsid w:val="007B1B48"/>
    <w:rsid w:val="007B2A73"/>
    <w:rsid w:val="007B5677"/>
    <w:rsid w:val="007B6E08"/>
    <w:rsid w:val="007C14B4"/>
    <w:rsid w:val="007C1F1D"/>
    <w:rsid w:val="007D1A06"/>
    <w:rsid w:val="007D3D6A"/>
    <w:rsid w:val="007E07F0"/>
    <w:rsid w:val="007E0F00"/>
    <w:rsid w:val="007E175E"/>
    <w:rsid w:val="007E27FD"/>
    <w:rsid w:val="007E4863"/>
    <w:rsid w:val="007E4DEE"/>
    <w:rsid w:val="007E5178"/>
    <w:rsid w:val="007E668B"/>
    <w:rsid w:val="007E67D2"/>
    <w:rsid w:val="007E7CC2"/>
    <w:rsid w:val="007F0446"/>
    <w:rsid w:val="007F0503"/>
    <w:rsid w:val="007F053E"/>
    <w:rsid w:val="007F0EE5"/>
    <w:rsid w:val="007F2119"/>
    <w:rsid w:val="007F34E2"/>
    <w:rsid w:val="007F3DA0"/>
    <w:rsid w:val="007F492B"/>
    <w:rsid w:val="007F4C56"/>
    <w:rsid w:val="007F4F8F"/>
    <w:rsid w:val="007F5CB6"/>
    <w:rsid w:val="007F6391"/>
    <w:rsid w:val="0080019D"/>
    <w:rsid w:val="008009A7"/>
    <w:rsid w:val="00800B91"/>
    <w:rsid w:val="00804B19"/>
    <w:rsid w:val="008056F4"/>
    <w:rsid w:val="00806464"/>
    <w:rsid w:val="008101D0"/>
    <w:rsid w:val="0081099B"/>
    <w:rsid w:val="00813145"/>
    <w:rsid w:val="00814D9E"/>
    <w:rsid w:val="00816F10"/>
    <w:rsid w:val="00823A7C"/>
    <w:rsid w:val="00824438"/>
    <w:rsid w:val="00825200"/>
    <w:rsid w:val="008258A0"/>
    <w:rsid w:val="00825D5E"/>
    <w:rsid w:val="00825DC1"/>
    <w:rsid w:val="00826024"/>
    <w:rsid w:val="0082645A"/>
    <w:rsid w:val="00831DCC"/>
    <w:rsid w:val="0083320E"/>
    <w:rsid w:val="00835388"/>
    <w:rsid w:val="00835A83"/>
    <w:rsid w:val="00836C47"/>
    <w:rsid w:val="008406EA"/>
    <w:rsid w:val="00842A25"/>
    <w:rsid w:val="00842A4B"/>
    <w:rsid w:val="00842BBF"/>
    <w:rsid w:val="00843511"/>
    <w:rsid w:val="008436DA"/>
    <w:rsid w:val="008444E8"/>
    <w:rsid w:val="008454F2"/>
    <w:rsid w:val="00845BE8"/>
    <w:rsid w:val="00845DA3"/>
    <w:rsid w:val="0084715F"/>
    <w:rsid w:val="008513E8"/>
    <w:rsid w:val="008517A6"/>
    <w:rsid w:val="0085183C"/>
    <w:rsid w:val="00853F99"/>
    <w:rsid w:val="00854F28"/>
    <w:rsid w:val="008550C1"/>
    <w:rsid w:val="0085530D"/>
    <w:rsid w:val="00855FCE"/>
    <w:rsid w:val="00856E64"/>
    <w:rsid w:val="00860B7B"/>
    <w:rsid w:val="00860E84"/>
    <w:rsid w:val="008643AA"/>
    <w:rsid w:val="00867245"/>
    <w:rsid w:val="00872669"/>
    <w:rsid w:val="00874BA8"/>
    <w:rsid w:val="00874CE0"/>
    <w:rsid w:val="00875692"/>
    <w:rsid w:val="008757B9"/>
    <w:rsid w:val="00876104"/>
    <w:rsid w:val="008762B6"/>
    <w:rsid w:val="008777EF"/>
    <w:rsid w:val="008778B3"/>
    <w:rsid w:val="008778D7"/>
    <w:rsid w:val="00881C28"/>
    <w:rsid w:val="008824F2"/>
    <w:rsid w:val="00882FAF"/>
    <w:rsid w:val="0088445F"/>
    <w:rsid w:val="008848A8"/>
    <w:rsid w:val="00885C19"/>
    <w:rsid w:val="00885F51"/>
    <w:rsid w:val="00887220"/>
    <w:rsid w:val="00887942"/>
    <w:rsid w:val="00887F3F"/>
    <w:rsid w:val="008902C8"/>
    <w:rsid w:val="00890D71"/>
    <w:rsid w:val="0089122B"/>
    <w:rsid w:val="00891C43"/>
    <w:rsid w:val="00891E62"/>
    <w:rsid w:val="008920C8"/>
    <w:rsid w:val="00892463"/>
    <w:rsid w:val="00893165"/>
    <w:rsid w:val="008947A1"/>
    <w:rsid w:val="008950C8"/>
    <w:rsid w:val="00895222"/>
    <w:rsid w:val="0089566E"/>
    <w:rsid w:val="008A306C"/>
    <w:rsid w:val="008A43A3"/>
    <w:rsid w:val="008A689C"/>
    <w:rsid w:val="008B1DD1"/>
    <w:rsid w:val="008B3AFE"/>
    <w:rsid w:val="008B43D7"/>
    <w:rsid w:val="008B5F65"/>
    <w:rsid w:val="008B5FE9"/>
    <w:rsid w:val="008B79B1"/>
    <w:rsid w:val="008C0A79"/>
    <w:rsid w:val="008C0AE1"/>
    <w:rsid w:val="008C1049"/>
    <w:rsid w:val="008C130A"/>
    <w:rsid w:val="008C175C"/>
    <w:rsid w:val="008C1959"/>
    <w:rsid w:val="008C255B"/>
    <w:rsid w:val="008C281C"/>
    <w:rsid w:val="008C458F"/>
    <w:rsid w:val="008C45DD"/>
    <w:rsid w:val="008C7A26"/>
    <w:rsid w:val="008D00E7"/>
    <w:rsid w:val="008D0CFF"/>
    <w:rsid w:val="008D138C"/>
    <w:rsid w:val="008D1547"/>
    <w:rsid w:val="008D3210"/>
    <w:rsid w:val="008D3D6C"/>
    <w:rsid w:val="008D4117"/>
    <w:rsid w:val="008D4261"/>
    <w:rsid w:val="008D6D76"/>
    <w:rsid w:val="008D7CDA"/>
    <w:rsid w:val="008E2526"/>
    <w:rsid w:val="008E323F"/>
    <w:rsid w:val="008E345F"/>
    <w:rsid w:val="008E377E"/>
    <w:rsid w:val="008E43CD"/>
    <w:rsid w:val="008E45D1"/>
    <w:rsid w:val="008E5BF0"/>
    <w:rsid w:val="008F00A1"/>
    <w:rsid w:val="008F404D"/>
    <w:rsid w:val="008F4A7D"/>
    <w:rsid w:val="008F59A2"/>
    <w:rsid w:val="008F7014"/>
    <w:rsid w:val="008F793A"/>
    <w:rsid w:val="008F7BE7"/>
    <w:rsid w:val="0090011D"/>
    <w:rsid w:val="00900B32"/>
    <w:rsid w:val="00901FA1"/>
    <w:rsid w:val="009020D0"/>
    <w:rsid w:val="00902E2D"/>
    <w:rsid w:val="009042AD"/>
    <w:rsid w:val="009046EF"/>
    <w:rsid w:val="00905028"/>
    <w:rsid w:val="00905267"/>
    <w:rsid w:val="00906765"/>
    <w:rsid w:val="00906D8E"/>
    <w:rsid w:val="00910000"/>
    <w:rsid w:val="009118A9"/>
    <w:rsid w:val="00913A2E"/>
    <w:rsid w:val="00913ACF"/>
    <w:rsid w:val="00913B67"/>
    <w:rsid w:val="009157E2"/>
    <w:rsid w:val="009162E6"/>
    <w:rsid w:val="00917011"/>
    <w:rsid w:val="00917345"/>
    <w:rsid w:val="00921504"/>
    <w:rsid w:val="00922924"/>
    <w:rsid w:val="00922D29"/>
    <w:rsid w:val="00924094"/>
    <w:rsid w:val="00924EEF"/>
    <w:rsid w:val="00926DED"/>
    <w:rsid w:val="00927BB2"/>
    <w:rsid w:val="00927C19"/>
    <w:rsid w:val="00932408"/>
    <w:rsid w:val="0093452D"/>
    <w:rsid w:val="00935B24"/>
    <w:rsid w:val="00937014"/>
    <w:rsid w:val="0093750D"/>
    <w:rsid w:val="0093766D"/>
    <w:rsid w:val="00940BCF"/>
    <w:rsid w:val="00942025"/>
    <w:rsid w:val="00942397"/>
    <w:rsid w:val="009434E2"/>
    <w:rsid w:val="009436D1"/>
    <w:rsid w:val="0094387B"/>
    <w:rsid w:val="00946094"/>
    <w:rsid w:val="009516B0"/>
    <w:rsid w:val="00951E6C"/>
    <w:rsid w:val="0095402A"/>
    <w:rsid w:val="00954F1E"/>
    <w:rsid w:val="009563BD"/>
    <w:rsid w:val="00957315"/>
    <w:rsid w:val="00957323"/>
    <w:rsid w:val="00957B61"/>
    <w:rsid w:val="00957D1E"/>
    <w:rsid w:val="009605CC"/>
    <w:rsid w:val="00965414"/>
    <w:rsid w:val="00970058"/>
    <w:rsid w:val="009721E2"/>
    <w:rsid w:val="00972AB1"/>
    <w:rsid w:val="0097574B"/>
    <w:rsid w:val="009761EB"/>
    <w:rsid w:val="0097628F"/>
    <w:rsid w:val="00980762"/>
    <w:rsid w:val="00980833"/>
    <w:rsid w:val="00981F43"/>
    <w:rsid w:val="00983456"/>
    <w:rsid w:val="0098507D"/>
    <w:rsid w:val="00986ED2"/>
    <w:rsid w:val="00991261"/>
    <w:rsid w:val="00993EA9"/>
    <w:rsid w:val="009959F3"/>
    <w:rsid w:val="00996F28"/>
    <w:rsid w:val="00997E98"/>
    <w:rsid w:val="009A04F0"/>
    <w:rsid w:val="009A2010"/>
    <w:rsid w:val="009A2BBB"/>
    <w:rsid w:val="009A3243"/>
    <w:rsid w:val="009A4FCB"/>
    <w:rsid w:val="009A5348"/>
    <w:rsid w:val="009A55D8"/>
    <w:rsid w:val="009A5CBA"/>
    <w:rsid w:val="009B011F"/>
    <w:rsid w:val="009B0314"/>
    <w:rsid w:val="009B15F0"/>
    <w:rsid w:val="009B26B1"/>
    <w:rsid w:val="009B7B62"/>
    <w:rsid w:val="009C00BC"/>
    <w:rsid w:val="009C11CB"/>
    <w:rsid w:val="009C6245"/>
    <w:rsid w:val="009C6B18"/>
    <w:rsid w:val="009C77E8"/>
    <w:rsid w:val="009C7CC6"/>
    <w:rsid w:val="009C7D39"/>
    <w:rsid w:val="009D2F0E"/>
    <w:rsid w:val="009D46ED"/>
    <w:rsid w:val="009D4E9E"/>
    <w:rsid w:val="009D61DF"/>
    <w:rsid w:val="009D6420"/>
    <w:rsid w:val="009D6F17"/>
    <w:rsid w:val="009D7004"/>
    <w:rsid w:val="009E22D6"/>
    <w:rsid w:val="009E2D37"/>
    <w:rsid w:val="009E360F"/>
    <w:rsid w:val="009E4376"/>
    <w:rsid w:val="009E45EF"/>
    <w:rsid w:val="009E4812"/>
    <w:rsid w:val="009E52FE"/>
    <w:rsid w:val="009E5CEB"/>
    <w:rsid w:val="009F0C58"/>
    <w:rsid w:val="009F30EA"/>
    <w:rsid w:val="009F3FA0"/>
    <w:rsid w:val="009F499B"/>
    <w:rsid w:val="009F5349"/>
    <w:rsid w:val="009F77DD"/>
    <w:rsid w:val="00A00C27"/>
    <w:rsid w:val="00A01A2A"/>
    <w:rsid w:val="00A01C18"/>
    <w:rsid w:val="00A02789"/>
    <w:rsid w:val="00A036E4"/>
    <w:rsid w:val="00A05707"/>
    <w:rsid w:val="00A066EC"/>
    <w:rsid w:val="00A07979"/>
    <w:rsid w:val="00A10886"/>
    <w:rsid w:val="00A10CD7"/>
    <w:rsid w:val="00A10E9E"/>
    <w:rsid w:val="00A10F4C"/>
    <w:rsid w:val="00A131E7"/>
    <w:rsid w:val="00A133BE"/>
    <w:rsid w:val="00A17BBE"/>
    <w:rsid w:val="00A17FB9"/>
    <w:rsid w:val="00A2010A"/>
    <w:rsid w:val="00A221BD"/>
    <w:rsid w:val="00A23B25"/>
    <w:rsid w:val="00A249D3"/>
    <w:rsid w:val="00A24FF5"/>
    <w:rsid w:val="00A27B06"/>
    <w:rsid w:val="00A30089"/>
    <w:rsid w:val="00A302AB"/>
    <w:rsid w:val="00A32680"/>
    <w:rsid w:val="00A329B4"/>
    <w:rsid w:val="00A33880"/>
    <w:rsid w:val="00A33A20"/>
    <w:rsid w:val="00A33A38"/>
    <w:rsid w:val="00A363C6"/>
    <w:rsid w:val="00A364F9"/>
    <w:rsid w:val="00A369AE"/>
    <w:rsid w:val="00A407E6"/>
    <w:rsid w:val="00A409E7"/>
    <w:rsid w:val="00A410BD"/>
    <w:rsid w:val="00A431AA"/>
    <w:rsid w:val="00A43B7D"/>
    <w:rsid w:val="00A447EC"/>
    <w:rsid w:val="00A454D3"/>
    <w:rsid w:val="00A46F60"/>
    <w:rsid w:val="00A5068B"/>
    <w:rsid w:val="00A50A59"/>
    <w:rsid w:val="00A5249A"/>
    <w:rsid w:val="00A5341E"/>
    <w:rsid w:val="00A57587"/>
    <w:rsid w:val="00A57DF7"/>
    <w:rsid w:val="00A6244B"/>
    <w:rsid w:val="00A6470B"/>
    <w:rsid w:val="00A651DE"/>
    <w:rsid w:val="00A65A48"/>
    <w:rsid w:val="00A661D9"/>
    <w:rsid w:val="00A66B5D"/>
    <w:rsid w:val="00A704E4"/>
    <w:rsid w:val="00A708AA"/>
    <w:rsid w:val="00A73AC5"/>
    <w:rsid w:val="00A743E3"/>
    <w:rsid w:val="00A76F6D"/>
    <w:rsid w:val="00A8120C"/>
    <w:rsid w:val="00A81D91"/>
    <w:rsid w:val="00A82F91"/>
    <w:rsid w:val="00A841D4"/>
    <w:rsid w:val="00A84B34"/>
    <w:rsid w:val="00A8525A"/>
    <w:rsid w:val="00A86248"/>
    <w:rsid w:val="00A87262"/>
    <w:rsid w:val="00A9065C"/>
    <w:rsid w:val="00A90FE9"/>
    <w:rsid w:val="00A92911"/>
    <w:rsid w:val="00A92CCC"/>
    <w:rsid w:val="00A93D98"/>
    <w:rsid w:val="00A96F04"/>
    <w:rsid w:val="00AA06B1"/>
    <w:rsid w:val="00AA1797"/>
    <w:rsid w:val="00AA270B"/>
    <w:rsid w:val="00AA2796"/>
    <w:rsid w:val="00AA2B89"/>
    <w:rsid w:val="00AA4BBB"/>
    <w:rsid w:val="00AA5FAB"/>
    <w:rsid w:val="00AA61A5"/>
    <w:rsid w:val="00AB125F"/>
    <w:rsid w:val="00AB1B66"/>
    <w:rsid w:val="00AB20CA"/>
    <w:rsid w:val="00AB2B2C"/>
    <w:rsid w:val="00AB2FD7"/>
    <w:rsid w:val="00AB3BEA"/>
    <w:rsid w:val="00AC0571"/>
    <w:rsid w:val="00AC0F9E"/>
    <w:rsid w:val="00AC127B"/>
    <w:rsid w:val="00AC1767"/>
    <w:rsid w:val="00AC1790"/>
    <w:rsid w:val="00AC58C0"/>
    <w:rsid w:val="00AC5F91"/>
    <w:rsid w:val="00AC6B2B"/>
    <w:rsid w:val="00AC7E15"/>
    <w:rsid w:val="00AD0785"/>
    <w:rsid w:val="00AD2349"/>
    <w:rsid w:val="00AD3E2F"/>
    <w:rsid w:val="00AD3EE2"/>
    <w:rsid w:val="00AD49BC"/>
    <w:rsid w:val="00AD5645"/>
    <w:rsid w:val="00AD5967"/>
    <w:rsid w:val="00AD7882"/>
    <w:rsid w:val="00AD7C68"/>
    <w:rsid w:val="00AE07AA"/>
    <w:rsid w:val="00AE0997"/>
    <w:rsid w:val="00AE0B64"/>
    <w:rsid w:val="00AE0C21"/>
    <w:rsid w:val="00AE0F8A"/>
    <w:rsid w:val="00AE549D"/>
    <w:rsid w:val="00AE688A"/>
    <w:rsid w:val="00AE6F37"/>
    <w:rsid w:val="00AF1747"/>
    <w:rsid w:val="00AF2683"/>
    <w:rsid w:val="00AF4167"/>
    <w:rsid w:val="00AF418D"/>
    <w:rsid w:val="00AF46B4"/>
    <w:rsid w:val="00AF65A7"/>
    <w:rsid w:val="00AF7C20"/>
    <w:rsid w:val="00B0278F"/>
    <w:rsid w:val="00B04377"/>
    <w:rsid w:val="00B04C09"/>
    <w:rsid w:val="00B05886"/>
    <w:rsid w:val="00B06937"/>
    <w:rsid w:val="00B11056"/>
    <w:rsid w:val="00B12D2D"/>
    <w:rsid w:val="00B13AD1"/>
    <w:rsid w:val="00B13C5D"/>
    <w:rsid w:val="00B14806"/>
    <w:rsid w:val="00B16BAB"/>
    <w:rsid w:val="00B1794C"/>
    <w:rsid w:val="00B22C94"/>
    <w:rsid w:val="00B23735"/>
    <w:rsid w:val="00B237BC"/>
    <w:rsid w:val="00B2392E"/>
    <w:rsid w:val="00B23FBE"/>
    <w:rsid w:val="00B2639C"/>
    <w:rsid w:val="00B2731C"/>
    <w:rsid w:val="00B27604"/>
    <w:rsid w:val="00B31297"/>
    <w:rsid w:val="00B320DE"/>
    <w:rsid w:val="00B35480"/>
    <w:rsid w:val="00B36154"/>
    <w:rsid w:val="00B403F0"/>
    <w:rsid w:val="00B415FB"/>
    <w:rsid w:val="00B4215B"/>
    <w:rsid w:val="00B421AC"/>
    <w:rsid w:val="00B439A0"/>
    <w:rsid w:val="00B441F7"/>
    <w:rsid w:val="00B44284"/>
    <w:rsid w:val="00B44BC8"/>
    <w:rsid w:val="00B4557F"/>
    <w:rsid w:val="00B46132"/>
    <w:rsid w:val="00B4624D"/>
    <w:rsid w:val="00B46D3B"/>
    <w:rsid w:val="00B47B1B"/>
    <w:rsid w:val="00B47D30"/>
    <w:rsid w:val="00B5020A"/>
    <w:rsid w:val="00B50BCA"/>
    <w:rsid w:val="00B53067"/>
    <w:rsid w:val="00B5737D"/>
    <w:rsid w:val="00B57551"/>
    <w:rsid w:val="00B57C49"/>
    <w:rsid w:val="00B61C5D"/>
    <w:rsid w:val="00B63D6C"/>
    <w:rsid w:val="00B642D6"/>
    <w:rsid w:val="00B6437C"/>
    <w:rsid w:val="00B64A51"/>
    <w:rsid w:val="00B65306"/>
    <w:rsid w:val="00B65A7C"/>
    <w:rsid w:val="00B6609F"/>
    <w:rsid w:val="00B66B30"/>
    <w:rsid w:val="00B73342"/>
    <w:rsid w:val="00B7467C"/>
    <w:rsid w:val="00B74E6D"/>
    <w:rsid w:val="00B75542"/>
    <w:rsid w:val="00B756DB"/>
    <w:rsid w:val="00B761D5"/>
    <w:rsid w:val="00B764E1"/>
    <w:rsid w:val="00B77866"/>
    <w:rsid w:val="00B8272B"/>
    <w:rsid w:val="00B85901"/>
    <w:rsid w:val="00B87959"/>
    <w:rsid w:val="00B9010A"/>
    <w:rsid w:val="00B90DDE"/>
    <w:rsid w:val="00B9212E"/>
    <w:rsid w:val="00B9273E"/>
    <w:rsid w:val="00B92D43"/>
    <w:rsid w:val="00B946AA"/>
    <w:rsid w:val="00B96F78"/>
    <w:rsid w:val="00B9707C"/>
    <w:rsid w:val="00B97453"/>
    <w:rsid w:val="00BA0AE0"/>
    <w:rsid w:val="00BA0C7B"/>
    <w:rsid w:val="00BA0DEE"/>
    <w:rsid w:val="00BA1242"/>
    <w:rsid w:val="00BA5205"/>
    <w:rsid w:val="00BA6583"/>
    <w:rsid w:val="00BA756E"/>
    <w:rsid w:val="00BB1441"/>
    <w:rsid w:val="00BB1817"/>
    <w:rsid w:val="00BB2987"/>
    <w:rsid w:val="00BB486C"/>
    <w:rsid w:val="00BB4A61"/>
    <w:rsid w:val="00BB5ABB"/>
    <w:rsid w:val="00BB63BC"/>
    <w:rsid w:val="00BB6CB8"/>
    <w:rsid w:val="00BB7862"/>
    <w:rsid w:val="00BC0DA2"/>
    <w:rsid w:val="00BC0F78"/>
    <w:rsid w:val="00BC3338"/>
    <w:rsid w:val="00BC3377"/>
    <w:rsid w:val="00BC3C78"/>
    <w:rsid w:val="00BC4319"/>
    <w:rsid w:val="00BC6293"/>
    <w:rsid w:val="00BC6BDB"/>
    <w:rsid w:val="00BC78AE"/>
    <w:rsid w:val="00BD0869"/>
    <w:rsid w:val="00BD1916"/>
    <w:rsid w:val="00BD2B45"/>
    <w:rsid w:val="00BD59C7"/>
    <w:rsid w:val="00BD6093"/>
    <w:rsid w:val="00BD7AAF"/>
    <w:rsid w:val="00BE04F1"/>
    <w:rsid w:val="00BE0F89"/>
    <w:rsid w:val="00BE1F5B"/>
    <w:rsid w:val="00BE2E8B"/>
    <w:rsid w:val="00BE32D9"/>
    <w:rsid w:val="00BE3C14"/>
    <w:rsid w:val="00BE3ED0"/>
    <w:rsid w:val="00BE535E"/>
    <w:rsid w:val="00BE5BC3"/>
    <w:rsid w:val="00BE5CD0"/>
    <w:rsid w:val="00BE7F6A"/>
    <w:rsid w:val="00BF0E4B"/>
    <w:rsid w:val="00BF22C5"/>
    <w:rsid w:val="00BF317D"/>
    <w:rsid w:val="00BF344C"/>
    <w:rsid w:val="00BF481B"/>
    <w:rsid w:val="00BF4BF2"/>
    <w:rsid w:val="00BF4E96"/>
    <w:rsid w:val="00BF5449"/>
    <w:rsid w:val="00BF6231"/>
    <w:rsid w:val="00BF6E77"/>
    <w:rsid w:val="00BF7D48"/>
    <w:rsid w:val="00BF7F40"/>
    <w:rsid w:val="00C00131"/>
    <w:rsid w:val="00C003E9"/>
    <w:rsid w:val="00C00FA4"/>
    <w:rsid w:val="00C01DE0"/>
    <w:rsid w:val="00C024FD"/>
    <w:rsid w:val="00C02DAF"/>
    <w:rsid w:val="00C02FEF"/>
    <w:rsid w:val="00C040DF"/>
    <w:rsid w:val="00C041AB"/>
    <w:rsid w:val="00C06984"/>
    <w:rsid w:val="00C079CE"/>
    <w:rsid w:val="00C1065B"/>
    <w:rsid w:val="00C11335"/>
    <w:rsid w:val="00C13B2C"/>
    <w:rsid w:val="00C14E71"/>
    <w:rsid w:val="00C152D0"/>
    <w:rsid w:val="00C225C6"/>
    <w:rsid w:val="00C243EA"/>
    <w:rsid w:val="00C24449"/>
    <w:rsid w:val="00C27180"/>
    <w:rsid w:val="00C30815"/>
    <w:rsid w:val="00C30A30"/>
    <w:rsid w:val="00C30A7E"/>
    <w:rsid w:val="00C30C8C"/>
    <w:rsid w:val="00C312FB"/>
    <w:rsid w:val="00C316C0"/>
    <w:rsid w:val="00C3192C"/>
    <w:rsid w:val="00C32705"/>
    <w:rsid w:val="00C33E35"/>
    <w:rsid w:val="00C346C6"/>
    <w:rsid w:val="00C349FC"/>
    <w:rsid w:val="00C3554A"/>
    <w:rsid w:val="00C35FA7"/>
    <w:rsid w:val="00C37051"/>
    <w:rsid w:val="00C4342B"/>
    <w:rsid w:val="00C43940"/>
    <w:rsid w:val="00C460A9"/>
    <w:rsid w:val="00C50A72"/>
    <w:rsid w:val="00C51A78"/>
    <w:rsid w:val="00C51C77"/>
    <w:rsid w:val="00C53044"/>
    <w:rsid w:val="00C5369C"/>
    <w:rsid w:val="00C55BA6"/>
    <w:rsid w:val="00C57A7C"/>
    <w:rsid w:val="00C57EB2"/>
    <w:rsid w:val="00C6064D"/>
    <w:rsid w:val="00C60874"/>
    <w:rsid w:val="00C61270"/>
    <w:rsid w:val="00C62472"/>
    <w:rsid w:val="00C625E7"/>
    <w:rsid w:val="00C626C4"/>
    <w:rsid w:val="00C62E77"/>
    <w:rsid w:val="00C635E7"/>
    <w:rsid w:val="00C64E19"/>
    <w:rsid w:val="00C659FC"/>
    <w:rsid w:val="00C65F8B"/>
    <w:rsid w:val="00C679DC"/>
    <w:rsid w:val="00C706A6"/>
    <w:rsid w:val="00C72A29"/>
    <w:rsid w:val="00C72B68"/>
    <w:rsid w:val="00C72DCE"/>
    <w:rsid w:val="00C74E25"/>
    <w:rsid w:val="00C75307"/>
    <w:rsid w:val="00C75414"/>
    <w:rsid w:val="00C757C4"/>
    <w:rsid w:val="00C76903"/>
    <w:rsid w:val="00C807B5"/>
    <w:rsid w:val="00C811F9"/>
    <w:rsid w:val="00C815D6"/>
    <w:rsid w:val="00C8294C"/>
    <w:rsid w:val="00C82DB4"/>
    <w:rsid w:val="00C83FE4"/>
    <w:rsid w:val="00C858C6"/>
    <w:rsid w:val="00C86373"/>
    <w:rsid w:val="00C87DDF"/>
    <w:rsid w:val="00C90382"/>
    <w:rsid w:val="00C91A08"/>
    <w:rsid w:val="00C92CF4"/>
    <w:rsid w:val="00C93B07"/>
    <w:rsid w:val="00C94C6F"/>
    <w:rsid w:val="00C956B3"/>
    <w:rsid w:val="00C962E8"/>
    <w:rsid w:val="00C96E5C"/>
    <w:rsid w:val="00C96EB0"/>
    <w:rsid w:val="00C96FA7"/>
    <w:rsid w:val="00CA0CE9"/>
    <w:rsid w:val="00CA1A71"/>
    <w:rsid w:val="00CA2A74"/>
    <w:rsid w:val="00CA2B9A"/>
    <w:rsid w:val="00CA2FA3"/>
    <w:rsid w:val="00CA3D61"/>
    <w:rsid w:val="00CA5A43"/>
    <w:rsid w:val="00CA71A5"/>
    <w:rsid w:val="00CA7A9F"/>
    <w:rsid w:val="00CB0212"/>
    <w:rsid w:val="00CB0933"/>
    <w:rsid w:val="00CB5BD6"/>
    <w:rsid w:val="00CB702A"/>
    <w:rsid w:val="00CB74BD"/>
    <w:rsid w:val="00CB753A"/>
    <w:rsid w:val="00CB7C1A"/>
    <w:rsid w:val="00CC0049"/>
    <w:rsid w:val="00CC1238"/>
    <w:rsid w:val="00CC2122"/>
    <w:rsid w:val="00CC2BC7"/>
    <w:rsid w:val="00CC3D63"/>
    <w:rsid w:val="00CC6A26"/>
    <w:rsid w:val="00CC7001"/>
    <w:rsid w:val="00CD0193"/>
    <w:rsid w:val="00CD0587"/>
    <w:rsid w:val="00CD0F61"/>
    <w:rsid w:val="00CD167E"/>
    <w:rsid w:val="00CD2119"/>
    <w:rsid w:val="00CD392B"/>
    <w:rsid w:val="00CD3AAE"/>
    <w:rsid w:val="00CD3CB4"/>
    <w:rsid w:val="00CD4111"/>
    <w:rsid w:val="00CD4E46"/>
    <w:rsid w:val="00CD7384"/>
    <w:rsid w:val="00CD7AA8"/>
    <w:rsid w:val="00CE4A45"/>
    <w:rsid w:val="00CE6561"/>
    <w:rsid w:val="00CF0066"/>
    <w:rsid w:val="00CF1C0B"/>
    <w:rsid w:val="00CF3931"/>
    <w:rsid w:val="00CF4539"/>
    <w:rsid w:val="00CF4F6D"/>
    <w:rsid w:val="00CF5ECA"/>
    <w:rsid w:val="00CF6CBA"/>
    <w:rsid w:val="00CF7FD0"/>
    <w:rsid w:val="00D03018"/>
    <w:rsid w:val="00D03759"/>
    <w:rsid w:val="00D03DD6"/>
    <w:rsid w:val="00D05806"/>
    <w:rsid w:val="00D06A6B"/>
    <w:rsid w:val="00D06B76"/>
    <w:rsid w:val="00D07CA9"/>
    <w:rsid w:val="00D121F6"/>
    <w:rsid w:val="00D13FA1"/>
    <w:rsid w:val="00D145DF"/>
    <w:rsid w:val="00D146AC"/>
    <w:rsid w:val="00D156AB"/>
    <w:rsid w:val="00D16EF0"/>
    <w:rsid w:val="00D20B4B"/>
    <w:rsid w:val="00D22A39"/>
    <w:rsid w:val="00D22E24"/>
    <w:rsid w:val="00D22F55"/>
    <w:rsid w:val="00D2304D"/>
    <w:rsid w:val="00D230D0"/>
    <w:rsid w:val="00D23218"/>
    <w:rsid w:val="00D23483"/>
    <w:rsid w:val="00D24A48"/>
    <w:rsid w:val="00D26379"/>
    <w:rsid w:val="00D26818"/>
    <w:rsid w:val="00D27D87"/>
    <w:rsid w:val="00D33528"/>
    <w:rsid w:val="00D33D8D"/>
    <w:rsid w:val="00D34ADA"/>
    <w:rsid w:val="00D40440"/>
    <w:rsid w:val="00D40DCD"/>
    <w:rsid w:val="00D41B02"/>
    <w:rsid w:val="00D42778"/>
    <w:rsid w:val="00D441E6"/>
    <w:rsid w:val="00D44EB6"/>
    <w:rsid w:val="00D46006"/>
    <w:rsid w:val="00D46221"/>
    <w:rsid w:val="00D46351"/>
    <w:rsid w:val="00D465B8"/>
    <w:rsid w:val="00D46C6F"/>
    <w:rsid w:val="00D477AD"/>
    <w:rsid w:val="00D5111C"/>
    <w:rsid w:val="00D52836"/>
    <w:rsid w:val="00D543E5"/>
    <w:rsid w:val="00D557C3"/>
    <w:rsid w:val="00D55D60"/>
    <w:rsid w:val="00D568C2"/>
    <w:rsid w:val="00D579F2"/>
    <w:rsid w:val="00D6011A"/>
    <w:rsid w:val="00D64228"/>
    <w:rsid w:val="00D64BAD"/>
    <w:rsid w:val="00D656F2"/>
    <w:rsid w:val="00D70905"/>
    <w:rsid w:val="00D72B58"/>
    <w:rsid w:val="00D72CF5"/>
    <w:rsid w:val="00D72DF5"/>
    <w:rsid w:val="00D75FF4"/>
    <w:rsid w:val="00D76F2E"/>
    <w:rsid w:val="00D8015A"/>
    <w:rsid w:val="00D80D80"/>
    <w:rsid w:val="00D81E09"/>
    <w:rsid w:val="00D847AA"/>
    <w:rsid w:val="00D84E17"/>
    <w:rsid w:val="00D87462"/>
    <w:rsid w:val="00D87C37"/>
    <w:rsid w:val="00D915BD"/>
    <w:rsid w:val="00D922FF"/>
    <w:rsid w:val="00D925DA"/>
    <w:rsid w:val="00D94539"/>
    <w:rsid w:val="00D9480C"/>
    <w:rsid w:val="00D94C4A"/>
    <w:rsid w:val="00D9534B"/>
    <w:rsid w:val="00DA02A4"/>
    <w:rsid w:val="00DA1E7E"/>
    <w:rsid w:val="00DA2260"/>
    <w:rsid w:val="00DA4348"/>
    <w:rsid w:val="00DA544B"/>
    <w:rsid w:val="00DA628B"/>
    <w:rsid w:val="00DA7A41"/>
    <w:rsid w:val="00DB0650"/>
    <w:rsid w:val="00DB36F1"/>
    <w:rsid w:val="00DB37F1"/>
    <w:rsid w:val="00DB3CB4"/>
    <w:rsid w:val="00DB4AF1"/>
    <w:rsid w:val="00DB56EB"/>
    <w:rsid w:val="00DB5867"/>
    <w:rsid w:val="00DB75ED"/>
    <w:rsid w:val="00DB787A"/>
    <w:rsid w:val="00DB7D82"/>
    <w:rsid w:val="00DC4A16"/>
    <w:rsid w:val="00DC5D72"/>
    <w:rsid w:val="00DC5F43"/>
    <w:rsid w:val="00DC7371"/>
    <w:rsid w:val="00DD1EC4"/>
    <w:rsid w:val="00DD27FB"/>
    <w:rsid w:val="00DD531F"/>
    <w:rsid w:val="00DE0F01"/>
    <w:rsid w:val="00DE11BB"/>
    <w:rsid w:val="00DE4D1E"/>
    <w:rsid w:val="00DE71AB"/>
    <w:rsid w:val="00DF0B3B"/>
    <w:rsid w:val="00DF1D2F"/>
    <w:rsid w:val="00DF25B0"/>
    <w:rsid w:val="00DF321C"/>
    <w:rsid w:val="00DF3AF4"/>
    <w:rsid w:val="00DF3CD3"/>
    <w:rsid w:val="00DF3D97"/>
    <w:rsid w:val="00DF3DB6"/>
    <w:rsid w:val="00DF4089"/>
    <w:rsid w:val="00DF4C9D"/>
    <w:rsid w:val="00DF54B9"/>
    <w:rsid w:val="00DF597D"/>
    <w:rsid w:val="00DF6371"/>
    <w:rsid w:val="00DF6532"/>
    <w:rsid w:val="00DF6A06"/>
    <w:rsid w:val="00DF7FA4"/>
    <w:rsid w:val="00E0139D"/>
    <w:rsid w:val="00E022E2"/>
    <w:rsid w:val="00E02B1E"/>
    <w:rsid w:val="00E0339C"/>
    <w:rsid w:val="00E03507"/>
    <w:rsid w:val="00E036A9"/>
    <w:rsid w:val="00E03728"/>
    <w:rsid w:val="00E03E0F"/>
    <w:rsid w:val="00E047DF"/>
    <w:rsid w:val="00E04878"/>
    <w:rsid w:val="00E04DBE"/>
    <w:rsid w:val="00E0548E"/>
    <w:rsid w:val="00E060C4"/>
    <w:rsid w:val="00E06AE7"/>
    <w:rsid w:val="00E076A8"/>
    <w:rsid w:val="00E10450"/>
    <w:rsid w:val="00E110B4"/>
    <w:rsid w:val="00E141E8"/>
    <w:rsid w:val="00E14A6E"/>
    <w:rsid w:val="00E158C5"/>
    <w:rsid w:val="00E15EDD"/>
    <w:rsid w:val="00E23166"/>
    <w:rsid w:val="00E2319B"/>
    <w:rsid w:val="00E23B99"/>
    <w:rsid w:val="00E24EBC"/>
    <w:rsid w:val="00E25B99"/>
    <w:rsid w:val="00E25DD9"/>
    <w:rsid w:val="00E27A3A"/>
    <w:rsid w:val="00E32D44"/>
    <w:rsid w:val="00E3337E"/>
    <w:rsid w:val="00E34345"/>
    <w:rsid w:val="00E37095"/>
    <w:rsid w:val="00E37211"/>
    <w:rsid w:val="00E37910"/>
    <w:rsid w:val="00E40B17"/>
    <w:rsid w:val="00E41A77"/>
    <w:rsid w:val="00E42EF9"/>
    <w:rsid w:val="00E43CD1"/>
    <w:rsid w:val="00E43E15"/>
    <w:rsid w:val="00E45FF5"/>
    <w:rsid w:val="00E46337"/>
    <w:rsid w:val="00E47DBE"/>
    <w:rsid w:val="00E504A8"/>
    <w:rsid w:val="00E51248"/>
    <w:rsid w:val="00E51665"/>
    <w:rsid w:val="00E51A01"/>
    <w:rsid w:val="00E52D43"/>
    <w:rsid w:val="00E537C8"/>
    <w:rsid w:val="00E54E67"/>
    <w:rsid w:val="00E55F0A"/>
    <w:rsid w:val="00E56496"/>
    <w:rsid w:val="00E5675F"/>
    <w:rsid w:val="00E5680E"/>
    <w:rsid w:val="00E572CD"/>
    <w:rsid w:val="00E579C4"/>
    <w:rsid w:val="00E618CD"/>
    <w:rsid w:val="00E629E3"/>
    <w:rsid w:val="00E63319"/>
    <w:rsid w:val="00E6691B"/>
    <w:rsid w:val="00E67651"/>
    <w:rsid w:val="00E70687"/>
    <w:rsid w:val="00E709BB"/>
    <w:rsid w:val="00E713CC"/>
    <w:rsid w:val="00E716BC"/>
    <w:rsid w:val="00E71860"/>
    <w:rsid w:val="00E72B82"/>
    <w:rsid w:val="00E7350B"/>
    <w:rsid w:val="00E739D6"/>
    <w:rsid w:val="00E73F4B"/>
    <w:rsid w:val="00E7440F"/>
    <w:rsid w:val="00E7468A"/>
    <w:rsid w:val="00E76B81"/>
    <w:rsid w:val="00E76F45"/>
    <w:rsid w:val="00E77C71"/>
    <w:rsid w:val="00E805C8"/>
    <w:rsid w:val="00E819EC"/>
    <w:rsid w:val="00E83482"/>
    <w:rsid w:val="00E839A2"/>
    <w:rsid w:val="00E83E00"/>
    <w:rsid w:val="00E83F86"/>
    <w:rsid w:val="00E849EE"/>
    <w:rsid w:val="00E84C14"/>
    <w:rsid w:val="00E8625F"/>
    <w:rsid w:val="00E8694A"/>
    <w:rsid w:val="00E929D5"/>
    <w:rsid w:val="00E93121"/>
    <w:rsid w:val="00E93905"/>
    <w:rsid w:val="00E93E83"/>
    <w:rsid w:val="00E94E0F"/>
    <w:rsid w:val="00E95040"/>
    <w:rsid w:val="00E96DEB"/>
    <w:rsid w:val="00E979A9"/>
    <w:rsid w:val="00EA428C"/>
    <w:rsid w:val="00EA463F"/>
    <w:rsid w:val="00EA4BDD"/>
    <w:rsid w:val="00EA5233"/>
    <w:rsid w:val="00EA6527"/>
    <w:rsid w:val="00EB192F"/>
    <w:rsid w:val="00EB2D17"/>
    <w:rsid w:val="00EB2E0E"/>
    <w:rsid w:val="00EB374B"/>
    <w:rsid w:val="00EB4499"/>
    <w:rsid w:val="00EB5030"/>
    <w:rsid w:val="00EB565F"/>
    <w:rsid w:val="00EB7D78"/>
    <w:rsid w:val="00EC0B85"/>
    <w:rsid w:val="00EC0CA7"/>
    <w:rsid w:val="00EC0CD3"/>
    <w:rsid w:val="00EC0F45"/>
    <w:rsid w:val="00EC128B"/>
    <w:rsid w:val="00EC1B3F"/>
    <w:rsid w:val="00EC3199"/>
    <w:rsid w:val="00EC322C"/>
    <w:rsid w:val="00EC4438"/>
    <w:rsid w:val="00EC4553"/>
    <w:rsid w:val="00EC49D7"/>
    <w:rsid w:val="00EC4F7B"/>
    <w:rsid w:val="00EC5CC9"/>
    <w:rsid w:val="00ED30A4"/>
    <w:rsid w:val="00ED3D33"/>
    <w:rsid w:val="00ED4593"/>
    <w:rsid w:val="00ED561A"/>
    <w:rsid w:val="00ED5BF8"/>
    <w:rsid w:val="00ED6FA2"/>
    <w:rsid w:val="00ED7DB1"/>
    <w:rsid w:val="00EE0316"/>
    <w:rsid w:val="00EE054E"/>
    <w:rsid w:val="00EE08BC"/>
    <w:rsid w:val="00EE0E0A"/>
    <w:rsid w:val="00EE2356"/>
    <w:rsid w:val="00EE27D2"/>
    <w:rsid w:val="00EE3337"/>
    <w:rsid w:val="00EE43A0"/>
    <w:rsid w:val="00EE4723"/>
    <w:rsid w:val="00EE4BF4"/>
    <w:rsid w:val="00EE51A7"/>
    <w:rsid w:val="00EE5D3E"/>
    <w:rsid w:val="00EF18F3"/>
    <w:rsid w:val="00EF1EDD"/>
    <w:rsid w:val="00EF2A6A"/>
    <w:rsid w:val="00EF2E1F"/>
    <w:rsid w:val="00EF3A0F"/>
    <w:rsid w:val="00EF3D6A"/>
    <w:rsid w:val="00EF4231"/>
    <w:rsid w:val="00EF49A0"/>
    <w:rsid w:val="00EF60C3"/>
    <w:rsid w:val="00EF64C2"/>
    <w:rsid w:val="00EF6D1A"/>
    <w:rsid w:val="00F00F53"/>
    <w:rsid w:val="00F018B3"/>
    <w:rsid w:val="00F025B1"/>
    <w:rsid w:val="00F03B12"/>
    <w:rsid w:val="00F0463A"/>
    <w:rsid w:val="00F0475E"/>
    <w:rsid w:val="00F07CA2"/>
    <w:rsid w:val="00F10075"/>
    <w:rsid w:val="00F11CCA"/>
    <w:rsid w:val="00F11CE7"/>
    <w:rsid w:val="00F120B0"/>
    <w:rsid w:val="00F13618"/>
    <w:rsid w:val="00F14D43"/>
    <w:rsid w:val="00F169E9"/>
    <w:rsid w:val="00F17E58"/>
    <w:rsid w:val="00F20B6A"/>
    <w:rsid w:val="00F20D2E"/>
    <w:rsid w:val="00F215E2"/>
    <w:rsid w:val="00F22617"/>
    <w:rsid w:val="00F23AD5"/>
    <w:rsid w:val="00F24462"/>
    <w:rsid w:val="00F25690"/>
    <w:rsid w:val="00F26759"/>
    <w:rsid w:val="00F3049E"/>
    <w:rsid w:val="00F31168"/>
    <w:rsid w:val="00F332AE"/>
    <w:rsid w:val="00F3354D"/>
    <w:rsid w:val="00F34593"/>
    <w:rsid w:val="00F35310"/>
    <w:rsid w:val="00F3589A"/>
    <w:rsid w:val="00F3615F"/>
    <w:rsid w:val="00F423D2"/>
    <w:rsid w:val="00F4256D"/>
    <w:rsid w:val="00F47B9B"/>
    <w:rsid w:val="00F47E68"/>
    <w:rsid w:val="00F5035E"/>
    <w:rsid w:val="00F52143"/>
    <w:rsid w:val="00F52798"/>
    <w:rsid w:val="00F54758"/>
    <w:rsid w:val="00F55828"/>
    <w:rsid w:val="00F5594C"/>
    <w:rsid w:val="00F569C0"/>
    <w:rsid w:val="00F56D20"/>
    <w:rsid w:val="00F60B4B"/>
    <w:rsid w:val="00F60DA0"/>
    <w:rsid w:val="00F62384"/>
    <w:rsid w:val="00F64D39"/>
    <w:rsid w:val="00F6537E"/>
    <w:rsid w:val="00F67724"/>
    <w:rsid w:val="00F72284"/>
    <w:rsid w:val="00F75D05"/>
    <w:rsid w:val="00F75E0B"/>
    <w:rsid w:val="00F766EB"/>
    <w:rsid w:val="00F775E9"/>
    <w:rsid w:val="00F80407"/>
    <w:rsid w:val="00F80C8F"/>
    <w:rsid w:val="00F81692"/>
    <w:rsid w:val="00F82B7D"/>
    <w:rsid w:val="00F840A3"/>
    <w:rsid w:val="00F84CF6"/>
    <w:rsid w:val="00F85361"/>
    <w:rsid w:val="00F87394"/>
    <w:rsid w:val="00F90AB2"/>
    <w:rsid w:val="00F90E12"/>
    <w:rsid w:val="00F911C5"/>
    <w:rsid w:val="00F91437"/>
    <w:rsid w:val="00F91BAF"/>
    <w:rsid w:val="00F921BF"/>
    <w:rsid w:val="00F926DB"/>
    <w:rsid w:val="00F92D38"/>
    <w:rsid w:val="00F93947"/>
    <w:rsid w:val="00F9483C"/>
    <w:rsid w:val="00F94913"/>
    <w:rsid w:val="00F94D0F"/>
    <w:rsid w:val="00F965DB"/>
    <w:rsid w:val="00F96697"/>
    <w:rsid w:val="00FA0E4D"/>
    <w:rsid w:val="00FA2C11"/>
    <w:rsid w:val="00FA4E72"/>
    <w:rsid w:val="00FA5595"/>
    <w:rsid w:val="00FA57E8"/>
    <w:rsid w:val="00FA681C"/>
    <w:rsid w:val="00FA7159"/>
    <w:rsid w:val="00FA77A8"/>
    <w:rsid w:val="00FA7C6C"/>
    <w:rsid w:val="00FB00B8"/>
    <w:rsid w:val="00FB0C19"/>
    <w:rsid w:val="00FB1C4C"/>
    <w:rsid w:val="00FB3DB0"/>
    <w:rsid w:val="00FB46ED"/>
    <w:rsid w:val="00FB5A20"/>
    <w:rsid w:val="00FB61B5"/>
    <w:rsid w:val="00FB7C4D"/>
    <w:rsid w:val="00FC0FBB"/>
    <w:rsid w:val="00FC3776"/>
    <w:rsid w:val="00FC4DB6"/>
    <w:rsid w:val="00FC5167"/>
    <w:rsid w:val="00FD2578"/>
    <w:rsid w:val="00FD37A6"/>
    <w:rsid w:val="00FD4554"/>
    <w:rsid w:val="00FD64FD"/>
    <w:rsid w:val="00FD7085"/>
    <w:rsid w:val="00FE14BE"/>
    <w:rsid w:val="00FE1E53"/>
    <w:rsid w:val="00FE2CA6"/>
    <w:rsid w:val="00FE3221"/>
    <w:rsid w:val="00FE6790"/>
    <w:rsid w:val="00FE67BE"/>
    <w:rsid w:val="00FE6C73"/>
    <w:rsid w:val="00FF3013"/>
    <w:rsid w:val="00FF32C5"/>
    <w:rsid w:val="00FF3E95"/>
    <w:rsid w:val="00FF4763"/>
    <w:rsid w:val="00FF6052"/>
    <w:rsid w:val="00FF7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39BDF49"/>
  <w15:docId w15:val="{2DF1B2BF-F2D5-42B6-8BBF-F1476863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B3F"/>
    <w:pPr>
      <w:spacing w:before="120" w:after="120" w:line="240" w:lineRule="auto"/>
    </w:pPr>
    <w:rPr>
      <w:rFonts w:ascii="Arial" w:eastAsia="Cambria" w:hAnsi="Arial" w:cs="Times New Roman"/>
      <w:lang w:val="en-AU"/>
    </w:rPr>
  </w:style>
  <w:style w:type="paragraph" w:styleId="Heading1">
    <w:name w:val="heading 1"/>
    <w:basedOn w:val="Normal"/>
    <w:next w:val="Normal"/>
    <w:link w:val="Heading1Char"/>
    <w:uiPriority w:val="9"/>
    <w:qFormat/>
    <w:rsid w:val="00542889"/>
    <w:pPr>
      <w:keepNext/>
      <w:numPr>
        <w:numId w:val="1"/>
      </w:numPr>
      <w:spacing w:before="240" w:after="60"/>
      <w:ind w:left="431" w:hanging="431"/>
      <w:outlineLvl w:val="0"/>
    </w:pPr>
    <w:rPr>
      <w:rFonts w:eastAsia="Times New Roman"/>
      <w:b/>
      <w:kern w:val="32"/>
      <w:sz w:val="36"/>
      <w:szCs w:val="36"/>
    </w:rPr>
  </w:style>
  <w:style w:type="paragraph" w:styleId="Heading2">
    <w:name w:val="heading 2"/>
    <w:basedOn w:val="Normal"/>
    <w:next w:val="Normal"/>
    <w:link w:val="Heading2Char"/>
    <w:uiPriority w:val="9"/>
    <w:qFormat/>
    <w:rsid w:val="00542889"/>
    <w:pPr>
      <w:widowControl w:val="0"/>
      <w:numPr>
        <w:ilvl w:val="1"/>
        <w:numId w:val="1"/>
      </w:numPr>
      <w:spacing w:before="360" w:after="60"/>
      <w:ind w:left="576"/>
      <w:outlineLvl w:val="1"/>
    </w:pPr>
    <w:rPr>
      <w:rFonts w:eastAsia="Times New Roman"/>
      <w:b/>
      <w:sz w:val="32"/>
      <w:szCs w:val="32"/>
    </w:rPr>
  </w:style>
  <w:style w:type="paragraph" w:styleId="Heading3">
    <w:name w:val="heading 3"/>
    <w:basedOn w:val="Normal"/>
    <w:next w:val="Normal"/>
    <w:link w:val="Heading3Char"/>
    <w:uiPriority w:val="9"/>
    <w:qFormat/>
    <w:rsid w:val="009C77E8"/>
    <w:pPr>
      <w:widowControl w:val="0"/>
      <w:numPr>
        <w:ilvl w:val="2"/>
        <w:numId w:val="1"/>
      </w:numPr>
      <w:spacing w:before="240" w:after="60"/>
      <w:outlineLvl w:val="2"/>
    </w:pPr>
    <w:rPr>
      <w:rFonts w:eastAsia="Times New Roman"/>
      <w:b/>
      <w:sz w:val="28"/>
      <w:szCs w:val="28"/>
    </w:rPr>
  </w:style>
  <w:style w:type="paragraph" w:styleId="Heading4">
    <w:name w:val="heading 4"/>
    <w:basedOn w:val="Normal"/>
    <w:next w:val="Normal"/>
    <w:link w:val="Heading4Char"/>
    <w:uiPriority w:val="9"/>
    <w:qFormat/>
    <w:rsid w:val="00166D4E"/>
    <w:pPr>
      <w:keepNext/>
      <w:numPr>
        <w:ilvl w:val="3"/>
        <w:numId w:val="1"/>
      </w:numPr>
      <w:spacing w:before="240" w:after="60"/>
      <w:outlineLvl w:val="3"/>
    </w:pPr>
    <w:rPr>
      <w:rFonts w:eastAsia="Times New Roman"/>
      <w:b/>
    </w:rPr>
  </w:style>
  <w:style w:type="paragraph" w:styleId="Heading5">
    <w:name w:val="heading 5"/>
    <w:basedOn w:val="Normal"/>
    <w:next w:val="Normal"/>
    <w:link w:val="Heading5Char"/>
    <w:uiPriority w:val="9"/>
    <w:semiHidden/>
    <w:unhideWhenUsed/>
    <w:qFormat/>
    <w:rsid w:val="00166D4E"/>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166D4E"/>
    <w:pPr>
      <w:numPr>
        <w:ilvl w:val="5"/>
        <w:numId w:val="1"/>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semiHidden/>
    <w:unhideWhenUsed/>
    <w:qFormat/>
    <w:rsid w:val="00166D4E"/>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166D4E"/>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166D4E"/>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889"/>
    <w:rPr>
      <w:rFonts w:ascii="Arial" w:eastAsia="Times New Roman" w:hAnsi="Arial" w:cs="Times New Roman"/>
      <w:b/>
      <w:kern w:val="32"/>
      <w:sz w:val="36"/>
      <w:szCs w:val="36"/>
      <w:lang w:val="en-AU"/>
    </w:rPr>
  </w:style>
  <w:style w:type="character" w:customStyle="1" w:styleId="Heading2Char">
    <w:name w:val="Heading 2 Char"/>
    <w:basedOn w:val="DefaultParagraphFont"/>
    <w:link w:val="Heading2"/>
    <w:uiPriority w:val="9"/>
    <w:rsid w:val="00542889"/>
    <w:rPr>
      <w:rFonts w:ascii="Arial" w:eastAsia="Times New Roman" w:hAnsi="Arial" w:cs="Times New Roman"/>
      <w:b/>
      <w:sz w:val="32"/>
      <w:szCs w:val="32"/>
      <w:lang w:val="en-AU"/>
    </w:rPr>
  </w:style>
  <w:style w:type="character" w:customStyle="1" w:styleId="Heading3Char">
    <w:name w:val="Heading 3 Char"/>
    <w:basedOn w:val="DefaultParagraphFont"/>
    <w:link w:val="Heading3"/>
    <w:uiPriority w:val="9"/>
    <w:rsid w:val="009C77E8"/>
    <w:rPr>
      <w:rFonts w:ascii="Arial" w:eastAsia="Times New Roman" w:hAnsi="Arial" w:cs="Times New Roman"/>
      <w:b/>
      <w:sz w:val="28"/>
      <w:szCs w:val="28"/>
      <w:lang w:val="en-AU"/>
    </w:rPr>
  </w:style>
  <w:style w:type="character" w:customStyle="1" w:styleId="Heading4Char">
    <w:name w:val="Heading 4 Char"/>
    <w:basedOn w:val="DefaultParagraphFont"/>
    <w:link w:val="Heading4"/>
    <w:uiPriority w:val="9"/>
    <w:rsid w:val="00166D4E"/>
    <w:rPr>
      <w:rFonts w:ascii="Arial" w:eastAsia="Times New Roman" w:hAnsi="Arial" w:cs="Times New Roman"/>
      <w:b/>
      <w:lang w:val="en-AU"/>
    </w:rPr>
  </w:style>
  <w:style w:type="character" w:customStyle="1" w:styleId="Heading5Char">
    <w:name w:val="Heading 5 Char"/>
    <w:basedOn w:val="DefaultParagraphFont"/>
    <w:link w:val="Heading5"/>
    <w:uiPriority w:val="9"/>
    <w:semiHidden/>
    <w:rsid w:val="00166D4E"/>
    <w:rPr>
      <w:rFonts w:ascii="Calibri" w:eastAsia="Times New Roman" w:hAnsi="Calibri" w:cs="Times New Roman"/>
      <w:b/>
      <w:bCs/>
      <w:i/>
      <w:iCs/>
      <w:sz w:val="26"/>
      <w:szCs w:val="26"/>
      <w:lang w:val="en-AU"/>
    </w:rPr>
  </w:style>
  <w:style w:type="character" w:customStyle="1" w:styleId="Heading6Char">
    <w:name w:val="Heading 6 Char"/>
    <w:basedOn w:val="DefaultParagraphFont"/>
    <w:link w:val="Heading6"/>
    <w:uiPriority w:val="9"/>
    <w:semiHidden/>
    <w:rsid w:val="00166D4E"/>
    <w:rPr>
      <w:rFonts w:ascii="Calibri" w:eastAsia="Times New Roman" w:hAnsi="Calibri" w:cs="Times New Roman"/>
      <w:b/>
      <w:bCs/>
      <w:lang w:val="en-AU"/>
    </w:rPr>
  </w:style>
  <w:style w:type="character" w:customStyle="1" w:styleId="Heading7Char">
    <w:name w:val="Heading 7 Char"/>
    <w:basedOn w:val="DefaultParagraphFont"/>
    <w:link w:val="Heading7"/>
    <w:uiPriority w:val="9"/>
    <w:semiHidden/>
    <w:rsid w:val="00166D4E"/>
    <w:rPr>
      <w:rFonts w:ascii="Calibri" w:eastAsia="Times New Roman" w:hAnsi="Calibri" w:cs="Times New Roman"/>
      <w:sz w:val="24"/>
      <w:szCs w:val="24"/>
      <w:lang w:val="en-AU"/>
    </w:rPr>
  </w:style>
  <w:style w:type="character" w:customStyle="1" w:styleId="Heading8Char">
    <w:name w:val="Heading 8 Char"/>
    <w:basedOn w:val="DefaultParagraphFont"/>
    <w:link w:val="Heading8"/>
    <w:uiPriority w:val="9"/>
    <w:semiHidden/>
    <w:rsid w:val="00166D4E"/>
    <w:rPr>
      <w:rFonts w:ascii="Calibri" w:eastAsia="Times New Roman" w:hAnsi="Calibri" w:cs="Times New Roman"/>
      <w:i/>
      <w:iCs/>
      <w:sz w:val="24"/>
      <w:szCs w:val="24"/>
      <w:lang w:val="en-AU"/>
    </w:rPr>
  </w:style>
  <w:style w:type="character" w:customStyle="1" w:styleId="Heading9Char">
    <w:name w:val="Heading 9 Char"/>
    <w:basedOn w:val="DefaultParagraphFont"/>
    <w:link w:val="Heading9"/>
    <w:uiPriority w:val="9"/>
    <w:semiHidden/>
    <w:rsid w:val="00166D4E"/>
    <w:rPr>
      <w:rFonts w:ascii="Cambria" w:eastAsia="Times New Roman" w:hAnsi="Cambria" w:cs="Times New Roman"/>
      <w:lang w:val="en-AU"/>
    </w:rPr>
  </w:style>
  <w:style w:type="paragraph" w:styleId="Header">
    <w:name w:val="header"/>
    <w:basedOn w:val="Normal"/>
    <w:link w:val="HeaderChar"/>
    <w:uiPriority w:val="99"/>
    <w:unhideWhenUsed/>
    <w:rsid w:val="00166D4E"/>
    <w:pPr>
      <w:tabs>
        <w:tab w:val="center" w:pos="4320"/>
        <w:tab w:val="right" w:pos="8640"/>
      </w:tabs>
      <w:spacing w:after="0"/>
    </w:pPr>
  </w:style>
  <w:style w:type="character" w:customStyle="1" w:styleId="HeaderChar">
    <w:name w:val="Header Char"/>
    <w:basedOn w:val="DefaultParagraphFont"/>
    <w:link w:val="Header"/>
    <w:uiPriority w:val="99"/>
    <w:rsid w:val="00166D4E"/>
    <w:rPr>
      <w:rFonts w:ascii="Arial" w:eastAsia="Cambria" w:hAnsi="Arial" w:cs="Times New Roman"/>
      <w:lang w:val="en-AU"/>
    </w:rPr>
  </w:style>
  <w:style w:type="paragraph" w:styleId="Footer">
    <w:name w:val="footer"/>
    <w:basedOn w:val="Normal"/>
    <w:link w:val="FooterChar"/>
    <w:uiPriority w:val="99"/>
    <w:qFormat/>
    <w:rsid w:val="00166D4E"/>
    <w:pPr>
      <w:pBdr>
        <w:top w:val="single" w:sz="4" w:space="6" w:color="4375B5"/>
      </w:pBdr>
      <w:spacing w:after="60"/>
      <w:jc w:val="center"/>
    </w:pPr>
    <w:rPr>
      <w:noProof/>
      <w:color w:val="4375B5"/>
      <w:sz w:val="18"/>
      <w:szCs w:val="18"/>
      <w:lang w:val="en-US" w:eastAsia="en-AU"/>
    </w:rPr>
  </w:style>
  <w:style w:type="character" w:customStyle="1" w:styleId="FooterChar">
    <w:name w:val="Footer Char"/>
    <w:basedOn w:val="DefaultParagraphFont"/>
    <w:link w:val="Footer"/>
    <w:uiPriority w:val="99"/>
    <w:rsid w:val="00166D4E"/>
    <w:rPr>
      <w:rFonts w:ascii="Arial" w:eastAsia="Cambria" w:hAnsi="Arial" w:cs="Times New Roman"/>
      <w:noProof/>
      <w:color w:val="4375B5"/>
      <w:sz w:val="18"/>
      <w:szCs w:val="18"/>
      <w:lang w:eastAsia="en-AU"/>
    </w:rPr>
  </w:style>
  <w:style w:type="paragraph" w:styleId="FootnoteText">
    <w:name w:val="footnote text"/>
    <w:basedOn w:val="Normal"/>
    <w:link w:val="FootnoteTextChar"/>
    <w:uiPriority w:val="99"/>
    <w:rsid w:val="00FE2CA6"/>
    <w:pPr>
      <w:tabs>
        <w:tab w:val="left" w:pos="284"/>
      </w:tabs>
      <w:ind w:left="284" w:hanging="284"/>
    </w:pPr>
    <w:rPr>
      <w:rFonts w:eastAsia="Times New Roman" w:cs="ProximaNova-Light"/>
      <w:i/>
      <w:color w:val="0D212C"/>
      <w:sz w:val="16"/>
      <w:szCs w:val="16"/>
      <w:lang w:val="en-US" w:eastAsia="en-AU"/>
    </w:rPr>
  </w:style>
  <w:style w:type="character" w:customStyle="1" w:styleId="FootnoteTextChar">
    <w:name w:val="Footnote Text Char"/>
    <w:basedOn w:val="DefaultParagraphFont"/>
    <w:link w:val="FootnoteText"/>
    <w:uiPriority w:val="99"/>
    <w:rsid w:val="00FE2CA6"/>
    <w:rPr>
      <w:rFonts w:ascii="Arial" w:eastAsia="Times New Roman" w:hAnsi="Arial" w:cs="ProximaNova-Light"/>
      <w:i/>
      <w:color w:val="0D212C"/>
      <w:sz w:val="16"/>
      <w:szCs w:val="16"/>
      <w:lang w:eastAsia="en-AU"/>
    </w:rPr>
  </w:style>
  <w:style w:type="paragraph" w:styleId="ListBullet">
    <w:name w:val="List Bullet"/>
    <w:basedOn w:val="Normal"/>
    <w:autoRedefine/>
    <w:uiPriority w:val="99"/>
    <w:rsid w:val="00280531"/>
    <w:pPr>
      <w:numPr>
        <w:numId w:val="2"/>
      </w:numPr>
      <w:ind w:left="425" w:hanging="425"/>
    </w:pPr>
    <w:rPr>
      <w:rFonts w:eastAsia="Times New Roman"/>
      <w:szCs w:val="20"/>
    </w:rPr>
  </w:style>
  <w:style w:type="paragraph" w:styleId="ListBullet2">
    <w:name w:val="List Bullet 2"/>
    <w:basedOn w:val="Normal"/>
    <w:autoRedefine/>
    <w:uiPriority w:val="99"/>
    <w:rsid w:val="00481FD1"/>
    <w:pPr>
      <w:numPr>
        <w:numId w:val="4"/>
      </w:numPr>
      <w:tabs>
        <w:tab w:val="left" w:pos="851"/>
      </w:tabs>
      <w:ind w:left="851"/>
    </w:pPr>
    <w:rPr>
      <w:rFonts w:eastAsia="Times New Roman"/>
    </w:rPr>
  </w:style>
  <w:style w:type="paragraph" w:customStyle="1" w:styleId="TableText">
    <w:name w:val="Table Text"/>
    <w:basedOn w:val="Normal"/>
    <w:link w:val="TableTextChar"/>
    <w:qFormat/>
    <w:rsid w:val="007E668B"/>
    <w:pPr>
      <w:spacing w:before="60" w:after="60"/>
    </w:pPr>
    <w:rPr>
      <w:rFonts w:eastAsia="Times New Roman"/>
      <w:bCs/>
      <w:sz w:val="20"/>
      <w:szCs w:val="20"/>
      <w:lang w:eastAsia="en-AU"/>
    </w:rPr>
  </w:style>
  <w:style w:type="paragraph" w:styleId="Title">
    <w:name w:val="Title"/>
    <w:basedOn w:val="Normal"/>
    <w:next w:val="Normal"/>
    <w:link w:val="TitleChar"/>
    <w:uiPriority w:val="10"/>
    <w:qFormat/>
    <w:rsid w:val="00166D4E"/>
    <w:pPr>
      <w:pBdr>
        <w:bottom w:val="single" w:sz="8" w:space="4" w:color="122250"/>
      </w:pBdr>
      <w:spacing w:before="0" w:after="300"/>
      <w:contextualSpacing/>
    </w:pPr>
    <w:rPr>
      <w:rFonts w:eastAsiaTheme="majorEastAsia" w:cs="Arial"/>
      <w:color w:val="122250"/>
      <w:spacing w:val="5"/>
      <w:kern w:val="28"/>
      <w:sz w:val="52"/>
      <w:szCs w:val="52"/>
    </w:rPr>
  </w:style>
  <w:style w:type="character" w:customStyle="1" w:styleId="TitleChar">
    <w:name w:val="Title Char"/>
    <w:basedOn w:val="DefaultParagraphFont"/>
    <w:link w:val="Title"/>
    <w:uiPriority w:val="10"/>
    <w:rsid w:val="00166D4E"/>
    <w:rPr>
      <w:rFonts w:ascii="Arial" w:eastAsiaTheme="majorEastAsia" w:hAnsi="Arial" w:cs="Arial"/>
      <w:color w:val="122250"/>
      <w:spacing w:val="5"/>
      <w:kern w:val="28"/>
      <w:sz w:val="52"/>
      <w:szCs w:val="52"/>
      <w:lang w:val="en-AU"/>
    </w:rPr>
  </w:style>
  <w:style w:type="paragraph" w:styleId="Caption">
    <w:name w:val="caption"/>
    <w:basedOn w:val="Normal"/>
    <w:next w:val="Normal"/>
    <w:uiPriority w:val="35"/>
    <w:qFormat/>
    <w:rsid w:val="00CD3AAE"/>
    <w:pPr>
      <w:keepNext/>
      <w:tabs>
        <w:tab w:val="left" w:pos="851"/>
      </w:tabs>
      <w:spacing w:before="240" w:after="60"/>
      <w:ind w:left="851" w:hanging="851"/>
    </w:pPr>
    <w:rPr>
      <w:iCs/>
      <w:color w:val="122250"/>
      <w:sz w:val="18"/>
      <w:szCs w:val="18"/>
    </w:rPr>
  </w:style>
  <w:style w:type="paragraph" w:customStyle="1" w:styleId="UnnumberedHeading1">
    <w:name w:val="Unnumbered Heading 1"/>
    <w:basedOn w:val="Heading1"/>
    <w:qFormat/>
    <w:rsid w:val="005F3456"/>
    <w:pPr>
      <w:pageBreakBefore/>
      <w:numPr>
        <w:numId w:val="0"/>
      </w:numPr>
    </w:pPr>
  </w:style>
  <w:style w:type="table" w:customStyle="1" w:styleId="GridTable4-Accent11">
    <w:name w:val="Grid Table 4 - Accent 11"/>
    <w:aliases w:val="Stenning Table"/>
    <w:basedOn w:val="TableNormal"/>
    <w:uiPriority w:val="49"/>
    <w:rsid w:val="00166D4E"/>
    <w:pPr>
      <w:spacing w:after="0" w:line="240" w:lineRule="auto"/>
    </w:pPr>
    <w:rPr>
      <w:rFonts w:ascii="Arial" w:eastAsia="Times New Roman" w:hAnsi="Arial" w:cs="Times New Roman"/>
      <w:sz w:val="20"/>
      <w:szCs w:val="20"/>
      <w:lang w:val="en-AU" w:eastAsia="en-A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shd w:val="clear" w:color="auto" w:fill="4375B5"/>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2Vert">
      <w:tblPr/>
      <w:tcPr>
        <w:shd w:val="clear" w:color="auto" w:fill="BDD6EE" w:themeFill="accent1" w:themeFillTint="66"/>
      </w:tcPr>
    </w:tblStylePr>
    <w:tblStylePr w:type="band1Horz">
      <w:tblPr/>
      <w:tcPr>
        <w:shd w:val="clear" w:color="auto" w:fill="DEEAF6" w:themeFill="accent1" w:themeFillTint="33"/>
      </w:tcPr>
    </w:tblStylePr>
    <w:tblStylePr w:type="band2Horz">
      <w:tblPr/>
      <w:tcPr>
        <w:shd w:val="clear" w:color="auto" w:fill="BDD6EE" w:themeFill="accent1" w:themeFillTint="66"/>
      </w:tcPr>
    </w:tblStylePr>
  </w:style>
  <w:style w:type="paragraph" w:styleId="Subtitle">
    <w:name w:val="Subtitle"/>
    <w:basedOn w:val="Normal"/>
    <w:next w:val="Normal"/>
    <w:link w:val="SubtitleChar"/>
    <w:uiPriority w:val="11"/>
    <w:qFormat/>
    <w:rsid w:val="00166D4E"/>
    <w:pPr>
      <w:numPr>
        <w:ilvl w:val="1"/>
      </w:numPr>
      <w:spacing w:before="0" w:after="160" w:line="259" w:lineRule="auto"/>
    </w:pPr>
    <w:rPr>
      <w:rFonts w:asciiTheme="minorHAnsi" w:eastAsiaTheme="minorEastAsia" w:hAnsiTheme="minorHAnsi"/>
      <w:color w:val="5A5A5A" w:themeColor="text1" w:themeTint="A5"/>
      <w:spacing w:val="15"/>
      <w:lang w:val="en-US"/>
    </w:rPr>
  </w:style>
  <w:style w:type="character" w:customStyle="1" w:styleId="SubtitleChar">
    <w:name w:val="Subtitle Char"/>
    <w:basedOn w:val="DefaultParagraphFont"/>
    <w:link w:val="Subtitle"/>
    <w:uiPriority w:val="11"/>
    <w:rsid w:val="00166D4E"/>
    <w:rPr>
      <w:rFonts w:eastAsiaTheme="minorEastAsia" w:cs="Times New Roman"/>
      <w:color w:val="5A5A5A" w:themeColor="text1" w:themeTint="A5"/>
      <w:spacing w:val="15"/>
    </w:rPr>
  </w:style>
  <w:style w:type="paragraph" w:customStyle="1" w:styleId="DocumentControlHeading1">
    <w:name w:val="Document Control Heading 1"/>
    <w:basedOn w:val="UnnumberedHeading1"/>
    <w:qFormat/>
    <w:rsid w:val="00C079CE"/>
    <w:rPr>
      <w:rFonts w:cs="Arial"/>
      <w:szCs w:val="32"/>
    </w:rPr>
  </w:style>
  <w:style w:type="character" w:styleId="CommentReference">
    <w:name w:val="annotation reference"/>
    <w:basedOn w:val="DefaultParagraphFont"/>
    <w:uiPriority w:val="99"/>
    <w:semiHidden/>
    <w:unhideWhenUsed/>
    <w:rsid w:val="00166D4E"/>
    <w:rPr>
      <w:sz w:val="16"/>
      <w:szCs w:val="16"/>
    </w:rPr>
  </w:style>
  <w:style w:type="paragraph" w:styleId="CommentText">
    <w:name w:val="annotation text"/>
    <w:basedOn w:val="Normal"/>
    <w:link w:val="CommentTextChar"/>
    <w:uiPriority w:val="99"/>
    <w:unhideWhenUsed/>
    <w:rsid w:val="00166D4E"/>
    <w:rPr>
      <w:sz w:val="20"/>
      <w:szCs w:val="20"/>
    </w:rPr>
  </w:style>
  <w:style w:type="character" w:customStyle="1" w:styleId="CommentTextChar">
    <w:name w:val="Comment Text Char"/>
    <w:basedOn w:val="DefaultParagraphFont"/>
    <w:link w:val="CommentText"/>
    <w:uiPriority w:val="99"/>
    <w:rsid w:val="00166D4E"/>
    <w:rPr>
      <w:rFonts w:ascii="Arial" w:eastAsia="Cambria" w:hAnsi="Arial" w:cs="Times New Roman"/>
      <w:sz w:val="20"/>
      <w:szCs w:val="20"/>
      <w:lang w:val="en-AU"/>
    </w:rPr>
  </w:style>
  <w:style w:type="character" w:styleId="FootnoteReference">
    <w:name w:val="footnote reference"/>
    <w:basedOn w:val="DefaultParagraphFont"/>
    <w:uiPriority w:val="99"/>
    <w:unhideWhenUsed/>
    <w:rsid w:val="00166D4E"/>
    <w:rPr>
      <w:vertAlign w:val="superscript"/>
    </w:rPr>
  </w:style>
  <w:style w:type="character" w:styleId="Hyperlink">
    <w:name w:val="Hyperlink"/>
    <w:basedOn w:val="DefaultParagraphFont"/>
    <w:uiPriority w:val="99"/>
    <w:unhideWhenUsed/>
    <w:rsid w:val="00166D4E"/>
    <w:rPr>
      <w:color w:val="0000FF"/>
      <w:u w:val="single"/>
    </w:rPr>
  </w:style>
  <w:style w:type="paragraph" w:styleId="ListParagraph">
    <w:name w:val="List Paragraph"/>
    <w:basedOn w:val="Normal"/>
    <w:uiPriority w:val="34"/>
    <w:semiHidden/>
    <w:qFormat/>
    <w:rsid w:val="00166D4E"/>
    <w:pPr>
      <w:ind w:left="720"/>
      <w:contextualSpacing/>
    </w:pPr>
  </w:style>
  <w:style w:type="character" w:customStyle="1" w:styleId="TableTextChar">
    <w:name w:val="Table Text Char"/>
    <w:link w:val="TableText"/>
    <w:rsid w:val="007E668B"/>
    <w:rPr>
      <w:rFonts w:ascii="Arial" w:eastAsia="Times New Roman" w:hAnsi="Arial" w:cs="Times New Roman"/>
      <w:bCs/>
      <w:sz w:val="20"/>
      <w:szCs w:val="20"/>
      <w:lang w:val="en-AU" w:eastAsia="en-AU"/>
    </w:rPr>
  </w:style>
  <w:style w:type="table" w:customStyle="1" w:styleId="GridTable5Dark-Accent11">
    <w:name w:val="Grid Table 5 Dark - Accent 11"/>
    <w:basedOn w:val="TableNormal"/>
    <w:uiPriority w:val="50"/>
    <w:rsid w:val="001949F5"/>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rPr>
        <w:cantSplit/>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BalloonText">
    <w:name w:val="Balloon Text"/>
    <w:basedOn w:val="Normal"/>
    <w:link w:val="BalloonTextChar"/>
    <w:uiPriority w:val="99"/>
    <w:semiHidden/>
    <w:rsid w:val="002016B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6B9"/>
    <w:rPr>
      <w:rFonts w:ascii="Segoe UI" w:eastAsia="Cambria"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7D1A06"/>
    <w:rPr>
      <w:b/>
      <w:bCs/>
    </w:rPr>
  </w:style>
  <w:style w:type="character" w:customStyle="1" w:styleId="CommentSubjectChar">
    <w:name w:val="Comment Subject Char"/>
    <w:basedOn w:val="CommentTextChar"/>
    <w:link w:val="CommentSubject"/>
    <w:uiPriority w:val="99"/>
    <w:semiHidden/>
    <w:rsid w:val="007D1A06"/>
    <w:rPr>
      <w:rFonts w:ascii="Arial" w:eastAsia="Cambria" w:hAnsi="Arial" w:cs="Times New Roman"/>
      <w:b/>
      <w:bCs/>
      <w:sz w:val="20"/>
      <w:szCs w:val="20"/>
      <w:lang w:val="en-AU"/>
    </w:rPr>
  </w:style>
  <w:style w:type="paragraph" w:styleId="Revision">
    <w:name w:val="Revision"/>
    <w:hidden/>
    <w:uiPriority w:val="99"/>
    <w:semiHidden/>
    <w:rsid w:val="007D1A06"/>
    <w:pPr>
      <w:spacing w:after="0" w:line="240" w:lineRule="auto"/>
    </w:pPr>
    <w:rPr>
      <w:rFonts w:ascii="Arial" w:eastAsia="Cambria" w:hAnsi="Arial" w:cs="Times New Roman"/>
      <w:lang w:val="en-AU"/>
    </w:rPr>
  </w:style>
  <w:style w:type="paragraph" w:customStyle="1" w:styleId="Figure">
    <w:name w:val="Figure"/>
    <w:basedOn w:val="Caption"/>
    <w:qFormat/>
    <w:rsid w:val="00FE1E53"/>
    <w:pPr>
      <w:spacing w:after="240"/>
    </w:pPr>
    <w:rPr>
      <w:noProof/>
      <w:lang w:eastAsia="en-AU"/>
    </w:rPr>
  </w:style>
  <w:style w:type="paragraph" w:styleId="EndnoteText">
    <w:name w:val="endnote text"/>
    <w:basedOn w:val="Normal"/>
    <w:link w:val="EndnoteTextChar"/>
    <w:uiPriority w:val="99"/>
    <w:unhideWhenUsed/>
    <w:rsid w:val="00CC1238"/>
    <w:pPr>
      <w:spacing w:before="0" w:after="0"/>
      <w:ind w:left="426" w:hanging="426"/>
    </w:pPr>
    <w:rPr>
      <w:rFonts w:eastAsia="Times New Roman"/>
      <w:sz w:val="20"/>
      <w:szCs w:val="20"/>
    </w:rPr>
  </w:style>
  <w:style w:type="character" w:customStyle="1" w:styleId="EndnoteTextChar">
    <w:name w:val="Endnote Text Char"/>
    <w:basedOn w:val="DefaultParagraphFont"/>
    <w:link w:val="EndnoteText"/>
    <w:uiPriority w:val="99"/>
    <w:rsid w:val="00CC1238"/>
    <w:rPr>
      <w:rFonts w:ascii="Arial" w:eastAsia="Times New Roman" w:hAnsi="Arial" w:cs="Times New Roman"/>
      <w:sz w:val="20"/>
      <w:szCs w:val="20"/>
      <w:lang w:val="en-AU"/>
    </w:rPr>
  </w:style>
  <w:style w:type="character" w:styleId="EndnoteReference">
    <w:name w:val="endnote reference"/>
    <w:basedOn w:val="DefaultParagraphFont"/>
    <w:uiPriority w:val="99"/>
    <w:semiHidden/>
    <w:unhideWhenUsed/>
    <w:rsid w:val="00B57C49"/>
    <w:rPr>
      <w:vertAlign w:val="superscript"/>
    </w:rPr>
  </w:style>
  <w:style w:type="character" w:styleId="FollowedHyperlink">
    <w:name w:val="FollowedHyperlink"/>
    <w:basedOn w:val="DefaultParagraphFont"/>
    <w:uiPriority w:val="99"/>
    <w:semiHidden/>
    <w:unhideWhenUsed/>
    <w:rsid w:val="00FC3776"/>
    <w:rPr>
      <w:color w:val="954F72" w:themeColor="followedHyperlink"/>
      <w:u w:val="single"/>
    </w:rPr>
  </w:style>
  <w:style w:type="table" w:styleId="TableGrid">
    <w:name w:val="Table Grid"/>
    <w:basedOn w:val="TableNormal"/>
    <w:uiPriority w:val="39"/>
    <w:rsid w:val="00693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6939D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Accent5">
    <w:name w:val="Light Shading Accent 5"/>
    <w:basedOn w:val="TableNormal"/>
    <w:uiPriority w:val="60"/>
    <w:rsid w:val="006939D8"/>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1">
    <w:name w:val="Light Shading Accent 1"/>
    <w:basedOn w:val="TableNormal"/>
    <w:uiPriority w:val="60"/>
    <w:rsid w:val="001F1372"/>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Normalbold">
    <w:name w:val="Normal bold"/>
    <w:basedOn w:val="Normal"/>
    <w:qFormat/>
    <w:rsid w:val="00414CFC"/>
    <w:rPr>
      <w:b/>
    </w:rPr>
  </w:style>
  <w:style w:type="paragraph" w:styleId="Quote">
    <w:name w:val="Quote"/>
    <w:basedOn w:val="Normal"/>
    <w:next w:val="Normal"/>
    <w:link w:val="QuoteChar"/>
    <w:uiPriority w:val="29"/>
    <w:semiHidden/>
    <w:qFormat/>
    <w:rsid w:val="005D517D"/>
    <w:pPr>
      <w:spacing w:before="200" w:after="160"/>
      <w:ind w:left="284" w:right="559"/>
    </w:pPr>
    <w:rPr>
      <w:i/>
      <w:iCs/>
      <w:color w:val="404040" w:themeColor="text1" w:themeTint="BF"/>
      <w:lang w:val="en"/>
    </w:rPr>
  </w:style>
  <w:style w:type="character" w:customStyle="1" w:styleId="QuoteChar">
    <w:name w:val="Quote Char"/>
    <w:basedOn w:val="DefaultParagraphFont"/>
    <w:link w:val="Quote"/>
    <w:uiPriority w:val="29"/>
    <w:semiHidden/>
    <w:rsid w:val="000C64E0"/>
    <w:rPr>
      <w:rFonts w:ascii="Arial" w:eastAsia="Cambria" w:hAnsi="Arial" w:cs="Times New Roman"/>
      <w:i/>
      <w:iCs/>
      <w:color w:val="404040" w:themeColor="text1" w:themeTint="BF"/>
      <w:lang w:val="en"/>
    </w:rPr>
  </w:style>
  <w:style w:type="paragraph" w:customStyle="1" w:styleId="Picture">
    <w:name w:val="Picture"/>
    <w:basedOn w:val="ListBullet"/>
    <w:semiHidden/>
    <w:qFormat/>
    <w:rsid w:val="00572E9D"/>
    <w:pPr>
      <w:numPr>
        <w:numId w:val="0"/>
      </w:numPr>
      <w:spacing w:after="240"/>
      <w:jc w:val="center"/>
    </w:pPr>
    <w:rPr>
      <w:noProof/>
      <w:lang w:eastAsia="en-AU"/>
    </w:rPr>
  </w:style>
  <w:style w:type="paragraph" w:styleId="ListBullet3">
    <w:name w:val="List Bullet 3"/>
    <w:basedOn w:val="Normal"/>
    <w:uiPriority w:val="99"/>
    <w:unhideWhenUsed/>
    <w:rsid w:val="00F55828"/>
    <w:pPr>
      <w:numPr>
        <w:numId w:val="3"/>
      </w:numPr>
      <w:tabs>
        <w:tab w:val="left" w:pos="1310"/>
      </w:tabs>
      <w:ind w:left="1310"/>
      <w:contextualSpacing/>
    </w:pPr>
  </w:style>
  <w:style w:type="paragraph" w:styleId="TOAHeading">
    <w:name w:val="toa heading"/>
    <w:basedOn w:val="Normal"/>
    <w:next w:val="Normal"/>
    <w:uiPriority w:val="99"/>
    <w:unhideWhenUsed/>
    <w:rsid w:val="004A5FBE"/>
    <w:rPr>
      <w:rFonts w:asciiTheme="majorHAnsi" w:eastAsiaTheme="majorEastAsia" w:hAnsiTheme="majorHAnsi" w:cstheme="majorBidi"/>
      <w:b/>
      <w:bCs/>
      <w:sz w:val="24"/>
      <w:szCs w:val="24"/>
    </w:rPr>
  </w:style>
  <w:style w:type="paragraph" w:styleId="TableofFigures">
    <w:name w:val="table of figures"/>
    <w:basedOn w:val="Normal"/>
    <w:next w:val="Normal"/>
    <w:uiPriority w:val="99"/>
    <w:unhideWhenUsed/>
    <w:rsid w:val="00DF0B3B"/>
    <w:pPr>
      <w:spacing w:after="0"/>
    </w:pPr>
  </w:style>
  <w:style w:type="paragraph" w:styleId="TOCHeading">
    <w:name w:val="TOC Heading"/>
    <w:basedOn w:val="Heading1"/>
    <w:next w:val="Normal"/>
    <w:uiPriority w:val="39"/>
    <w:unhideWhenUsed/>
    <w:qFormat/>
    <w:rsid w:val="007F34E2"/>
    <w:pPr>
      <w:keepLines/>
      <w:numPr>
        <w:numId w:val="0"/>
      </w:numPr>
      <w:spacing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paragraph" w:styleId="TOC1">
    <w:name w:val="toc 1"/>
    <w:basedOn w:val="Normal"/>
    <w:next w:val="Normal"/>
    <w:autoRedefine/>
    <w:uiPriority w:val="39"/>
    <w:unhideWhenUsed/>
    <w:rsid w:val="00C079CE"/>
    <w:pPr>
      <w:tabs>
        <w:tab w:val="left" w:pos="426"/>
        <w:tab w:val="right" w:leader="dot" w:pos="9621"/>
      </w:tabs>
      <w:spacing w:after="100"/>
    </w:pPr>
  </w:style>
  <w:style w:type="paragraph" w:styleId="TOC2">
    <w:name w:val="toc 2"/>
    <w:basedOn w:val="Normal"/>
    <w:next w:val="Normal"/>
    <w:autoRedefine/>
    <w:uiPriority w:val="39"/>
    <w:unhideWhenUsed/>
    <w:rsid w:val="007F34E2"/>
    <w:pPr>
      <w:spacing w:after="100"/>
      <w:ind w:left="220"/>
    </w:pPr>
  </w:style>
  <w:style w:type="table" w:customStyle="1" w:styleId="ListTable4-Accent11">
    <w:name w:val="List Table 4 - Accent 11"/>
    <w:basedOn w:val="TableNormal"/>
    <w:uiPriority w:val="49"/>
    <w:rsid w:val="00AD49B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PlaceholderText">
    <w:name w:val="Placeholder Text"/>
    <w:basedOn w:val="DefaultParagraphFont"/>
    <w:uiPriority w:val="99"/>
    <w:semiHidden/>
    <w:rsid w:val="00BD1916"/>
    <w:rPr>
      <w:color w:val="808080"/>
    </w:rPr>
  </w:style>
  <w:style w:type="paragraph" w:customStyle="1" w:styleId="TableHeading">
    <w:name w:val="Table Heading"/>
    <w:basedOn w:val="Normal"/>
    <w:next w:val="Normal"/>
    <w:rsid w:val="00E04878"/>
    <w:rPr>
      <w:rFonts w:eastAsia="Times New Roman"/>
      <w:b/>
      <w:bCs/>
      <w:sz w:val="20"/>
    </w:rPr>
  </w:style>
  <w:style w:type="paragraph" w:styleId="TOC3">
    <w:name w:val="toc 3"/>
    <w:basedOn w:val="Normal"/>
    <w:next w:val="Normal"/>
    <w:autoRedefine/>
    <w:uiPriority w:val="39"/>
    <w:unhideWhenUsed/>
    <w:rsid w:val="008E377E"/>
    <w:pPr>
      <w:spacing w:after="100"/>
      <w:ind w:left="440"/>
    </w:pPr>
  </w:style>
  <w:style w:type="paragraph" w:styleId="Bibliography">
    <w:name w:val="Bibliography"/>
    <w:basedOn w:val="Normal"/>
    <w:next w:val="Normal"/>
    <w:uiPriority w:val="37"/>
    <w:unhideWhenUsed/>
    <w:rsid w:val="00613A23"/>
  </w:style>
  <w:style w:type="table" w:customStyle="1" w:styleId="StenningTable2">
    <w:name w:val="Stenning Table 2"/>
    <w:basedOn w:val="TableNormal"/>
    <w:uiPriority w:val="50"/>
    <w:rsid w:val="00222BD8"/>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rPr>
        <w:cantSplit/>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TableListBullet1">
    <w:name w:val="Table List Bullet 1"/>
    <w:basedOn w:val="TableText"/>
    <w:qFormat/>
    <w:rsid w:val="00222BD8"/>
    <w:pPr>
      <w:numPr>
        <w:numId w:val="5"/>
      </w:numPr>
      <w:spacing w:before="120" w:after="120"/>
    </w:pPr>
    <w:rPr>
      <w:sz w:val="18"/>
      <w:szCs w:val="18"/>
    </w:rPr>
  </w:style>
  <w:style w:type="paragraph" w:styleId="ListNumber">
    <w:name w:val="List Number"/>
    <w:basedOn w:val="ListBullet"/>
    <w:uiPriority w:val="99"/>
    <w:rsid w:val="00424B90"/>
    <w:pPr>
      <w:numPr>
        <w:numId w:val="27"/>
      </w:numPr>
      <w:ind w:hanging="502"/>
    </w:pPr>
  </w:style>
  <w:style w:type="table" w:customStyle="1" w:styleId="GridTable5Dark-Accent51">
    <w:name w:val="Grid Table 5 Dark - Accent 51"/>
    <w:basedOn w:val="TableNormal"/>
    <w:uiPriority w:val="50"/>
    <w:rsid w:val="00222B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Footer-FirstPage">
    <w:name w:val="Footer - First Page"/>
    <w:basedOn w:val="Normal"/>
    <w:qFormat/>
    <w:rsid w:val="00410845"/>
    <w:pPr>
      <w:spacing w:before="240" w:after="60"/>
      <w:jc w:val="center"/>
    </w:pPr>
    <w:rPr>
      <w:noProof/>
      <w:color w:val="4375B5"/>
      <w:sz w:val="18"/>
      <w:szCs w:val="18"/>
      <w:lang w:eastAsia="en-AU"/>
    </w:rPr>
  </w:style>
  <w:style w:type="character" w:styleId="Strong">
    <w:name w:val="Strong"/>
    <w:basedOn w:val="DefaultParagraphFont"/>
    <w:uiPriority w:val="22"/>
    <w:qFormat/>
    <w:rsid w:val="00670AF5"/>
    <w:rPr>
      <w:b/>
      <w:bCs/>
    </w:rPr>
  </w:style>
  <w:style w:type="paragraph" w:customStyle="1" w:styleId="UnnumberedHeading2">
    <w:name w:val="Unnumbered Heading 2"/>
    <w:basedOn w:val="Normal"/>
    <w:next w:val="Normal"/>
    <w:qFormat/>
    <w:rsid w:val="002B0CB2"/>
    <w:rPr>
      <w:b/>
      <w:sz w:val="32"/>
      <w:szCs w:val="32"/>
    </w:rPr>
  </w:style>
  <w:style w:type="character" w:customStyle="1" w:styleId="UnresolvedMention1">
    <w:name w:val="Unresolved Mention1"/>
    <w:basedOn w:val="DefaultParagraphFont"/>
    <w:uiPriority w:val="99"/>
    <w:semiHidden/>
    <w:unhideWhenUsed/>
    <w:rsid w:val="006D218C"/>
    <w:rPr>
      <w:color w:val="808080"/>
      <w:shd w:val="clear" w:color="auto" w:fill="E6E6E6"/>
    </w:rPr>
  </w:style>
  <w:style w:type="table" w:styleId="GridTable4-Accent5">
    <w:name w:val="Grid Table 4 Accent 5"/>
    <w:basedOn w:val="TableNormal"/>
    <w:uiPriority w:val="49"/>
    <w:rsid w:val="00A108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semiHidden/>
    <w:unhideWhenUsed/>
    <w:rsid w:val="004C1C66"/>
    <w:rPr>
      <w:color w:val="605E5C"/>
      <w:shd w:val="clear" w:color="auto" w:fill="E1DFDD"/>
    </w:rPr>
  </w:style>
  <w:style w:type="paragraph" w:customStyle="1" w:styleId="Tablelistbullet">
    <w:name w:val="Table list bullet"/>
    <w:basedOn w:val="TableText"/>
    <w:next w:val="TableText"/>
    <w:rsid w:val="0076215D"/>
    <w:pPr>
      <w:numPr>
        <w:numId w:val="18"/>
      </w:numPr>
      <w:tabs>
        <w:tab w:val="clear" w:pos="720"/>
      </w:tabs>
      <w:ind w:left="315"/>
    </w:pPr>
    <w:rPr>
      <w:szCs w:val="22"/>
      <w:lang w:eastAsia="en-US"/>
    </w:rPr>
  </w:style>
  <w:style w:type="paragraph" w:customStyle="1" w:styleId="Tablelistbullet2">
    <w:name w:val="Table list bullet 2"/>
    <w:basedOn w:val="Tablelistbullet"/>
    <w:qFormat/>
    <w:rsid w:val="00C32705"/>
    <w:pPr>
      <w:numPr>
        <w:numId w:val="19"/>
      </w:numPr>
    </w:pPr>
  </w:style>
  <w:style w:type="paragraph" w:styleId="NormalWeb">
    <w:name w:val="Normal (Web)"/>
    <w:basedOn w:val="Normal"/>
    <w:uiPriority w:val="99"/>
    <w:semiHidden/>
    <w:unhideWhenUsed/>
    <w:rsid w:val="00E6691B"/>
    <w:pPr>
      <w:spacing w:before="100" w:beforeAutospacing="1" w:after="100" w:afterAutospacing="1"/>
    </w:pPr>
    <w:rPr>
      <w:rFonts w:ascii="Times New Roman" w:eastAsia="Times New Roman" w:hAnsi="Times New Roman"/>
      <w:sz w:val="24"/>
      <w:szCs w:val="24"/>
      <w:lang w:eastAsia="en-AU"/>
    </w:rPr>
  </w:style>
  <w:style w:type="table" w:styleId="GridTable4-Accent1">
    <w:name w:val="Grid Table 4 Accent 1"/>
    <w:basedOn w:val="TableNormal"/>
    <w:uiPriority w:val="49"/>
    <w:rsid w:val="0068767B"/>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Number2">
    <w:name w:val="List Number 2"/>
    <w:basedOn w:val="Normal"/>
    <w:uiPriority w:val="99"/>
    <w:rsid w:val="00EC1B3F"/>
    <w:pPr>
      <w:numPr>
        <w:numId w:val="30"/>
      </w:numPr>
      <w:contextualSpacing/>
    </w:pPr>
  </w:style>
  <w:style w:type="paragraph" w:styleId="ListNumber3">
    <w:name w:val="List Number 3"/>
    <w:basedOn w:val="Normal"/>
    <w:uiPriority w:val="99"/>
    <w:rsid w:val="00EC1B3F"/>
    <w:pPr>
      <w:numPr>
        <w:numId w:val="31"/>
      </w:numPr>
      <w:contextualSpacing/>
    </w:pPr>
  </w:style>
  <w:style w:type="paragraph" w:customStyle="1" w:styleId="listbulletdash">
    <w:name w:val="list bullet dash"/>
    <w:basedOn w:val="ListBullet2"/>
    <w:qFormat/>
    <w:rsid w:val="00481FD1"/>
    <w:pPr>
      <w:ind w:left="1605"/>
    </w:pPr>
  </w:style>
  <w:style w:type="paragraph" w:styleId="NoSpacing">
    <w:name w:val="No Spacing"/>
    <w:link w:val="NoSpacingChar"/>
    <w:uiPriority w:val="1"/>
    <w:qFormat/>
    <w:rsid w:val="00657450"/>
    <w:pPr>
      <w:spacing w:after="0" w:line="240" w:lineRule="auto"/>
    </w:pPr>
    <w:rPr>
      <w:rFonts w:eastAsiaTheme="minorEastAsia"/>
    </w:rPr>
  </w:style>
  <w:style w:type="character" w:customStyle="1" w:styleId="NoSpacingChar">
    <w:name w:val="No Spacing Char"/>
    <w:basedOn w:val="DefaultParagraphFont"/>
    <w:link w:val="NoSpacing"/>
    <w:uiPriority w:val="1"/>
    <w:rsid w:val="00657450"/>
    <w:rPr>
      <w:rFonts w:eastAsiaTheme="minorEastAsia"/>
    </w:rPr>
  </w:style>
  <w:style w:type="character" w:customStyle="1" w:styleId="word">
    <w:name w:val="word"/>
    <w:basedOn w:val="DefaultParagraphFont"/>
    <w:rsid w:val="00917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1828">
      <w:bodyDiv w:val="1"/>
      <w:marLeft w:val="0"/>
      <w:marRight w:val="0"/>
      <w:marTop w:val="0"/>
      <w:marBottom w:val="0"/>
      <w:divBdr>
        <w:top w:val="none" w:sz="0" w:space="0" w:color="auto"/>
        <w:left w:val="none" w:sz="0" w:space="0" w:color="auto"/>
        <w:bottom w:val="none" w:sz="0" w:space="0" w:color="auto"/>
        <w:right w:val="none" w:sz="0" w:space="0" w:color="auto"/>
      </w:divBdr>
    </w:div>
    <w:div w:id="44527039">
      <w:bodyDiv w:val="1"/>
      <w:marLeft w:val="0"/>
      <w:marRight w:val="0"/>
      <w:marTop w:val="0"/>
      <w:marBottom w:val="0"/>
      <w:divBdr>
        <w:top w:val="none" w:sz="0" w:space="0" w:color="auto"/>
        <w:left w:val="none" w:sz="0" w:space="0" w:color="auto"/>
        <w:bottom w:val="none" w:sz="0" w:space="0" w:color="auto"/>
        <w:right w:val="none" w:sz="0" w:space="0" w:color="auto"/>
      </w:divBdr>
    </w:div>
    <w:div w:id="57755407">
      <w:bodyDiv w:val="1"/>
      <w:marLeft w:val="0"/>
      <w:marRight w:val="0"/>
      <w:marTop w:val="0"/>
      <w:marBottom w:val="0"/>
      <w:divBdr>
        <w:top w:val="none" w:sz="0" w:space="0" w:color="auto"/>
        <w:left w:val="none" w:sz="0" w:space="0" w:color="auto"/>
        <w:bottom w:val="none" w:sz="0" w:space="0" w:color="auto"/>
        <w:right w:val="none" w:sz="0" w:space="0" w:color="auto"/>
      </w:divBdr>
    </w:div>
    <w:div w:id="66921148">
      <w:bodyDiv w:val="1"/>
      <w:marLeft w:val="0"/>
      <w:marRight w:val="0"/>
      <w:marTop w:val="0"/>
      <w:marBottom w:val="0"/>
      <w:divBdr>
        <w:top w:val="none" w:sz="0" w:space="0" w:color="auto"/>
        <w:left w:val="none" w:sz="0" w:space="0" w:color="auto"/>
        <w:bottom w:val="none" w:sz="0" w:space="0" w:color="auto"/>
        <w:right w:val="none" w:sz="0" w:space="0" w:color="auto"/>
      </w:divBdr>
    </w:div>
    <w:div w:id="68626629">
      <w:bodyDiv w:val="1"/>
      <w:marLeft w:val="0"/>
      <w:marRight w:val="0"/>
      <w:marTop w:val="0"/>
      <w:marBottom w:val="0"/>
      <w:divBdr>
        <w:top w:val="none" w:sz="0" w:space="0" w:color="auto"/>
        <w:left w:val="none" w:sz="0" w:space="0" w:color="auto"/>
        <w:bottom w:val="none" w:sz="0" w:space="0" w:color="auto"/>
        <w:right w:val="none" w:sz="0" w:space="0" w:color="auto"/>
      </w:divBdr>
    </w:div>
    <w:div w:id="74523479">
      <w:bodyDiv w:val="1"/>
      <w:marLeft w:val="0"/>
      <w:marRight w:val="0"/>
      <w:marTop w:val="0"/>
      <w:marBottom w:val="0"/>
      <w:divBdr>
        <w:top w:val="none" w:sz="0" w:space="0" w:color="auto"/>
        <w:left w:val="none" w:sz="0" w:space="0" w:color="auto"/>
        <w:bottom w:val="none" w:sz="0" w:space="0" w:color="auto"/>
        <w:right w:val="none" w:sz="0" w:space="0" w:color="auto"/>
      </w:divBdr>
    </w:div>
    <w:div w:id="92173536">
      <w:bodyDiv w:val="1"/>
      <w:marLeft w:val="0"/>
      <w:marRight w:val="0"/>
      <w:marTop w:val="0"/>
      <w:marBottom w:val="0"/>
      <w:divBdr>
        <w:top w:val="none" w:sz="0" w:space="0" w:color="auto"/>
        <w:left w:val="none" w:sz="0" w:space="0" w:color="auto"/>
        <w:bottom w:val="none" w:sz="0" w:space="0" w:color="auto"/>
        <w:right w:val="none" w:sz="0" w:space="0" w:color="auto"/>
      </w:divBdr>
    </w:div>
    <w:div w:id="111485341">
      <w:bodyDiv w:val="1"/>
      <w:marLeft w:val="0"/>
      <w:marRight w:val="0"/>
      <w:marTop w:val="0"/>
      <w:marBottom w:val="0"/>
      <w:divBdr>
        <w:top w:val="none" w:sz="0" w:space="0" w:color="auto"/>
        <w:left w:val="none" w:sz="0" w:space="0" w:color="auto"/>
        <w:bottom w:val="none" w:sz="0" w:space="0" w:color="auto"/>
        <w:right w:val="none" w:sz="0" w:space="0" w:color="auto"/>
      </w:divBdr>
    </w:div>
    <w:div w:id="115874096">
      <w:bodyDiv w:val="1"/>
      <w:marLeft w:val="0"/>
      <w:marRight w:val="0"/>
      <w:marTop w:val="0"/>
      <w:marBottom w:val="0"/>
      <w:divBdr>
        <w:top w:val="none" w:sz="0" w:space="0" w:color="auto"/>
        <w:left w:val="none" w:sz="0" w:space="0" w:color="auto"/>
        <w:bottom w:val="none" w:sz="0" w:space="0" w:color="auto"/>
        <w:right w:val="none" w:sz="0" w:space="0" w:color="auto"/>
      </w:divBdr>
    </w:div>
    <w:div w:id="121465235">
      <w:bodyDiv w:val="1"/>
      <w:marLeft w:val="0"/>
      <w:marRight w:val="0"/>
      <w:marTop w:val="0"/>
      <w:marBottom w:val="0"/>
      <w:divBdr>
        <w:top w:val="none" w:sz="0" w:space="0" w:color="auto"/>
        <w:left w:val="none" w:sz="0" w:space="0" w:color="auto"/>
        <w:bottom w:val="none" w:sz="0" w:space="0" w:color="auto"/>
        <w:right w:val="none" w:sz="0" w:space="0" w:color="auto"/>
      </w:divBdr>
    </w:div>
    <w:div w:id="127676014">
      <w:bodyDiv w:val="1"/>
      <w:marLeft w:val="0"/>
      <w:marRight w:val="0"/>
      <w:marTop w:val="0"/>
      <w:marBottom w:val="0"/>
      <w:divBdr>
        <w:top w:val="none" w:sz="0" w:space="0" w:color="auto"/>
        <w:left w:val="none" w:sz="0" w:space="0" w:color="auto"/>
        <w:bottom w:val="none" w:sz="0" w:space="0" w:color="auto"/>
        <w:right w:val="none" w:sz="0" w:space="0" w:color="auto"/>
      </w:divBdr>
    </w:div>
    <w:div w:id="127747114">
      <w:bodyDiv w:val="1"/>
      <w:marLeft w:val="0"/>
      <w:marRight w:val="0"/>
      <w:marTop w:val="0"/>
      <w:marBottom w:val="0"/>
      <w:divBdr>
        <w:top w:val="none" w:sz="0" w:space="0" w:color="auto"/>
        <w:left w:val="none" w:sz="0" w:space="0" w:color="auto"/>
        <w:bottom w:val="none" w:sz="0" w:space="0" w:color="auto"/>
        <w:right w:val="none" w:sz="0" w:space="0" w:color="auto"/>
      </w:divBdr>
    </w:div>
    <w:div w:id="129909320">
      <w:bodyDiv w:val="1"/>
      <w:marLeft w:val="0"/>
      <w:marRight w:val="0"/>
      <w:marTop w:val="0"/>
      <w:marBottom w:val="0"/>
      <w:divBdr>
        <w:top w:val="none" w:sz="0" w:space="0" w:color="auto"/>
        <w:left w:val="none" w:sz="0" w:space="0" w:color="auto"/>
        <w:bottom w:val="none" w:sz="0" w:space="0" w:color="auto"/>
        <w:right w:val="none" w:sz="0" w:space="0" w:color="auto"/>
      </w:divBdr>
    </w:div>
    <w:div w:id="132258303">
      <w:bodyDiv w:val="1"/>
      <w:marLeft w:val="0"/>
      <w:marRight w:val="0"/>
      <w:marTop w:val="0"/>
      <w:marBottom w:val="0"/>
      <w:divBdr>
        <w:top w:val="none" w:sz="0" w:space="0" w:color="auto"/>
        <w:left w:val="none" w:sz="0" w:space="0" w:color="auto"/>
        <w:bottom w:val="none" w:sz="0" w:space="0" w:color="auto"/>
        <w:right w:val="none" w:sz="0" w:space="0" w:color="auto"/>
      </w:divBdr>
    </w:div>
    <w:div w:id="134761569">
      <w:bodyDiv w:val="1"/>
      <w:marLeft w:val="0"/>
      <w:marRight w:val="0"/>
      <w:marTop w:val="0"/>
      <w:marBottom w:val="0"/>
      <w:divBdr>
        <w:top w:val="none" w:sz="0" w:space="0" w:color="auto"/>
        <w:left w:val="none" w:sz="0" w:space="0" w:color="auto"/>
        <w:bottom w:val="none" w:sz="0" w:space="0" w:color="auto"/>
        <w:right w:val="none" w:sz="0" w:space="0" w:color="auto"/>
      </w:divBdr>
    </w:div>
    <w:div w:id="138768821">
      <w:bodyDiv w:val="1"/>
      <w:marLeft w:val="0"/>
      <w:marRight w:val="0"/>
      <w:marTop w:val="0"/>
      <w:marBottom w:val="0"/>
      <w:divBdr>
        <w:top w:val="none" w:sz="0" w:space="0" w:color="auto"/>
        <w:left w:val="none" w:sz="0" w:space="0" w:color="auto"/>
        <w:bottom w:val="none" w:sz="0" w:space="0" w:color="auto"/>
        <w:right w:val="none" w:sz="0" w:space="0" w:color="auto"/>
      </w:divBdr>
    </w:div>
    <w:div w:id="170995279">
      <w:bodyDiv w:val="1"/>
      <w:marLeft w:val="0"/>
      <w:marRight w:val="0"/>
      <w:marTop w:val="0"/>
      <w:marBottom w:val="0"/>
      <w:divBdr>
        <w:top w:val="none" w:sz="0" w:space="0" w:color="auto"/>
        <w:left w:val="none" w:sz="0" w:space="0" w:color="auto"/>
        <w:bottom w:val="none" w:sz="0" w:space="0" w:color="auto"/>
        <w:right w:val="none" w:sz="0" w:space="0" w:color="auto"/>
      </w:divBdr>
    </w:div>
    <w:div w:id="181864460">
      <w:bodyDiv w:val="1"/>
      <w:marLeft w:val="0"/>
      <w:marRight w:val="0"/>
      <w:marTop w:val="0"/>
      <w:marBottom w:val="0"/>
      <w:divBdr>
        <w:top w:val="none" w:sz="0" w:space="0" w:color="auto"/>
        <w:left w:val="none" w:sz="0" w:space="0" w:color="auto"/>
        <w:bottom w:val="none" w:sz="0" w:space="0" w:color="auto"/>
        <w:right w:val="none" w:sz="0" w:space="0" w:color="auto"/>
      </w:divBdr>
    </w:div>
    <w:div w:id="182867518">
      <w:bodyDiv w:val="1"/>
      <w:marLeft w:val="0"/>
      <w:marRight w:val="0"/>
      <w:marTop w:val="0"/>
      <w:marBottom w:val="0"/>
      <w:divBdr>
        <w:top w:val="none" w:sz="0" w:space="0" w:color="auto"/>
        <w:left w:val="none" w:sz="0" w:space="0" w:color="auto"/>
        <w:bottom w:val="none" w:sz="0" w:space="0" w:color="auto"/>
        <w:right w:val="none" w:sz="0" w:space="0" w:color="auto"/>
      </w:divBdr>
    </w:div>
    <w:div w:id="188837236">
      <w:bodyDiv w:val="1"/>
      <w:marLeft w:val="0"/>
      <w:marRight w:val="0"/>
      <w:marTop w:val="0"/>
      <w:marBottom w:val="0"/>
      <w:divBdr>
        <w:top w:val="none" w:sz="0" w:space="0" w:color="auto"/>
        <w:left w:val="none" w:sz="0" w:space="0" w:color="auto"/>
        <w:bottom w:val="none" w:sz="0" w:space="0" w:color="auto"/>
        <w:right w:val="none" w:sz="0" w:space="0" w:color="auto"/>
      </w:divBdr>
    </w:div>
    <w:div w:id="189228457">
      <w:bodyDiv w:val="1"/>
      <w:marLeft w:val="0"/>
      <w:marRight w:val="0"/>
      <w:marTop w:val="0"/>
      <w:marBottom w:val="0"/>
      <w:divBdr>
        <w:top w:val="none" w:sz="0" w:space="0" w:color="auto"/>
        <w:left w:val="none" w:sz="0" w:space="0" w:color="auto"/>
        <w:bottom w:val="none" w:sz="0" w:space="0" w:color="auto"/>
        <w:right w:val="none" w:sz="0" w:space="0" w:color="auto"/>
      </w:divBdr>
    </w:div>
    <w:div w:id="195701927">
      <w:bodyDiv w:val="1"/>
      <w:marLeft w:val="0"/>
      <w:marRight w:val="0"/>
      <w:marTop w:val="0"/>
      <w:marBottom w:val="0"/>
      <w:divBdr>
        <w:top w:val="none" w:sz="0" w:space="0" w:color="auto"/>
        <w:left w:val="none" w:sz="0" w:space="0" w:color="auto"/>
        <w:bottom w:val="none" w:sz="0" w:space="0" w:color="auto"/>
        <w:right w:val="none" w:sz="0" w:space="0" w:color="auto"/>
      </w:divBdr>
    </w:div>
    <w:div w:id="204754067">
      <w:bodyDiv w:val="1"/>
      <w:marLeft w:val="0"/>
      <w:marRight w:val="0"/>
      <w:marTop w:val="0"/>
      <w:marBottom w:val="0"/>
      <w:divBdr>
        <w:top w:val="none" w:sz="0" w:space="0" w:color="auto"/>
        <w:left w:val="none" w:sz="0" w:space="0" w:color="auto"/>
        <w:bottom w:val="none" w:sz="0" w:space="0" w:color="auto"/>
        <w:right w:val="none" w:sz="0" w:space="0" w:color="auto"/>
      </w:divBdr>
    </w:div>
    <w:div w:id="210315046">
      <w:bodyDiv w:val="1"/>
      <w:marLeft w:val="0"/>
      <w:marRight w:val="0"/>
      <w:marTop w:val="0"/>
      <w:marBottom w:val="0"/>
      <w:divBdr>
        <w:top w:val="none" w:sz="0" w:space="0" w:color="auto"/>
        <w:left w:val="none" w:sz="0" w:space="0" w:color="auto"/>
        <w:bottom w:val="none" w:sz="0" w:space="0" w:color="auto"/>
        <w:right w:val="none" w:sz="0" w:space="0" w:color="auto"/>
      </w:divBdr>
    </w:div>
    <w:div w:id="229049073">
      <w:bodyDiv w:val="1"/>
      <w:marLeft w:val="0"/>
      <w:marRight w:val="0"/>
      <w:marTop w:val="0"/>
      <w:marBottom w:val="0"/>
      <w:divBdr>
        <w:top w:val="none" w:sz="0" w:space="0" w:color="auto"/>
        <w:left w:val="none" w:sz="0" w:space="0" w:color="auto"/>
        <w:bottom w:val="none" w:sz="0" w:space="0" w:color="auto"/>
        <w:right w:val="none" w:sz="0" w:space="0" w:color="auto"/>
      </w:divBdr>
    </w:div>
    <w:div w:id="232787388">
      <w:bodyDiv w:val="1"/>
      <w:marLeft w:val="0"/>
      <w:marRight w:val="0"/>
      <w:marTop w:val="0"/>
      <w:marBottom w:val="0"/>
      <w:divBdr>
        <w:top w:val="none" w:sz="0" w:space="0" w:color="auto"/>
        <w:left w:val="none" w:sz="0" w:space="0" w:color="auto"/>
        <w:bottom w:val="none" w:sz="0" w:space="0" w:color="auto"/>
        <w:right w:val="none" w:sz="0" w:space="0" w:color="auto"/>
      </w:divBdr>
    </w:div>
    <w:div w:id="242036949">
      <w:bodyDiv w:val="1"/>
      <w:marLeft w:val="0"/>
      <w:marRight w:val="0"/>
      <w:marTop w:val="0"/>
      <w:marBottom w:val="0"/>
      <w:divBdr>
        <w:top w:val="none" w:sz="0" w:space="0" w:color="auto"/>
        <w:left w:val="none" w:sz="0" w:space="0" w:color="auto"/>
        <w:bottom w:val="none" w:sz="0" w:space="0" w:color="auto"/>
        <w:right w:val="none" w:sz="0" w:space="0" w:color="auto"/>
      </w:divBdr>
    </w:div>
    <w:div w:id="252595850">
      <w:bodyDiv w:val="1"/>
      <w:marLeft w:val="0"/>
      <w:marRight w:val="0"/>
      <w:marTop w:val="0"/>
      <w:marBottom w:val="0"/>
      <w:divBdr>
        <w:top w:val="none" w:sz="0" w:space="0" w:color="auto"/>
        <w:left w:val="none" w:sz="0" w:space="0" w:color="auto"/>
        <w:bottom w:val="none" w:sz="0" w:space="0" w:color="auto"/>
        <w:right w:val="none" w:sz="0" w:space="0" w:color="auto"/>
      </w:divBdr>
    </w:div>
    <w:div w:id="267935006">
      <w:bodyDiv w:val="1"/>
      <w:marLeft w:val="0"/>
      <w:marRight w:val="0"/>
      <w:marTop w:val="0"/>
      <w:marBottom w:val="0"/>
      <w:divBdr>
        <w:top w:val="none" w:sz="0" w:space="0" w:color="auto"/>
        <w:left w:val="none" w:sz="0" w:space="0" w:color="auto"/>
        <w:bottom w:val="none" w:sz="0" w:space="0" w:color="auto"/>
        <w:right w:val="none" w:sz="0" w:space="0" w:color="auto"/>
      </w:divBdr>
    </w:div>
    <w:div w:id="267977211">
      <w:bodyDiv w:val="1"/>
      <w:marLeft w:val="0"/>
      <w:marRight w:val="0"/>
      <w:marTop w:val="0"/>
      <w:marBottom w:val="0"/>
      <w:divBdr>
        <w:top w:val="none" w:sz="0" w:space="0" w:color="auto"/>
        <w:left w:val="none" w:sz="0" w:space="0" w:color="auto"/>
        <w:bottom w:val="none" w:sz="0" w:space="0" w:color="auto"/>
        <w:right w:val="none" w:sz="0" w:space="0" w:color="auto"/>
      </w:divBdr>
    </w:div>
    <w:div w:id="268203658">
      <w:bodyDiv w:val="1"/>
      <w:marLeft w:val="0"/>
      <w:marRight w:val="0"/>
      <w:marTop w:val="0"/>
      <w:marBottom w:val="0"/>
      <w:divBdr>
        <w:top w:val="none" w:sz="0" w:space="0" w:color="auto"/>
        <w:left w:val="none" w:sz="0" w:space="0" w:color="auto"/>
        <w:bottom w:val="none" w:sz="0" w:space="0" w:color="auto"/>
        <w:right w:val="none" w:sz="0" w:space="0" w:color="auto"/>
      </w:divBdr>
    </w:div>
    <w:div w:id="358433002">
      <w:bodyDiv w:val="1"/>
      <w:marLeft w:val="0"/>
      <w:marRight w:val="0"/>
      <w:marTop w:val="0"/>
      <w:marBottom w:val="0"/>
      <w:divBdr>
        <w:top w:val="none" w:sz="0" w:space="0" w:color="auto"/>
        <w:left w:val="none" w:sz="0" w:space="0" w:color="auto"/>
        <w:bottom w:val="none" w:sz="0" w:space="0" w:color="auto"/>
        <w:right w:val="none" w:sz="0" w:space="0" w:color="auto"/>
      </w:divBdr>
    </w:div>
    <w:div w:id="367922562">
      <w:bodyDiv w:val="1"/>
      <w:marLeft w:val="0"/>
      <w:marRight w:val="0"/>
      <w:marTop w:val="0"/>
      <w:marBottom w:val="0"/>
      <w:divBdr>
        <w:top w:val="none" w:sz="0" w:space="0" w:color="auto"/>
        <w:left w:val="none" w:sz="0" w:space="0" w:color="auto"/>
        <w:bottom w:val="none" w:sz="0" w:space="0" w:color="auto"/>
        <w:right w:val="none" w:sz="0" w:space="0" w:color="auto"/>
      </w:divBdr>
    </w:div>
    <w:div w:id="380600061">
      <w:bodyDiv w:val="1"/>
      <w:marLeft w:val="0"/>
      <w:marRight w:val="0"/>
      <w:marTop w:val="0"/>
      <w:marBottom w:val="0"/>
      <w:divBdr>
        <w:top w:val="none" w:sz="0" w:space="0" w:color="auto"/>
        <w:left w:val="none" w:sz="0" w:space="0" w:color="auto"/>
        <w:bottom w:val="none" w:sz="0" w:space="0" w:color="auto"/>
        <w:right w:val="none" w:sz="0" w:space="0" w:color="auto"/>
      </w:divBdr>
    </w:div>
    <w:div w:id="415325268">
      <w:bodyDiv w:val="1"/>
      <w:marLeft w:val="0"/>
      <w:marRight w:val="0"/>
      <w:marTop w:val="0"/>
      <w:marBottom w:val="0"/>
      <w:divBdr>
        <w:top w:val="none" w:sz="0" w:space="0" w:color="auto"/>
        <w:left w:val="none" w:sz="0" w:space="0" w:color="auto"/>
        <w:bottom w:val="none" w:sz="0" w:space="0" w:color="auto"/>
        <w:right w:val="none" w:sz="0" w:space="0" w:color="auto"/>
      </w:divBdr>
    </w:div>
    <w:div w:id="423890032">
      <w:bodyDiv w:val="1"/>
      <w:marLeft w:val="0"/>
      <w:marRight w:val="0"/>
      <w:marTop w:val="0"/>
      <w:marBottom w:val="0"/>
      <w:divBdr>
        <w:top w:val="none" w:sz="0" w:space="0" w:color="auto"/>
        <w:left w:val="none" w:sz="0" w:space="0" w:color="auto"/>
        <w:bottom w:val="none" w:sz="0" w:space="0" w:color="auto"/>
        <w:right w:val="none" w:sz="0" w:space="0" w:color="auto"/>
      </w:divBdr>
    </w:div>
    <w:div w:id="439298205">
      <w:bodyDiv w:val="1"/>
      <w:marLeft w:val="0"/>
      <w:marRight w:val="0"/>
      <w:marTop w:val="0"/>
      <w:marBottom w:val="0"/>
      <w:divBdr>
        <w:top w:val="none" w:sz="0" w:space="0" w:color="auto"/>
        <w:left w:val="none" w:sz="0" w:space="0" w:color="auto"/>
        <w:bottom w:val="none" w:sz="0" w:space="0" w:color="auto"/>
        <w:right w:val="none" w:sz="0" w:space="0" w:color="auto"/>
      </w:divBdr>
    </w:div>
    <w:div w:id="454838672">
      <w:bodyDiv w:val="1"/>
      <w:marLeft w:val="0"/>
      <w:marRight w:val="0"/>
      <w:marTop w:val="0"/>
      <w:marBottom w:val="0"/>
      <w:divBdr>
        <w:top w:val="none" w:sz="0" w:space="0" w:color="auto"/>
        <w:left w:val="none" w:sz="0" w:space="0" w:color="auto"/>
        <w:bottom w:val="none" w:sz="0" w:space="0" w:color="auto"/>
        <w:right w:val="none" w:sz="0" w:space="0" w:color="auto"/>
      </w:divBdr>
    </w:div>
    <w:div w:id="461191555">
      <w:bodyDiv w:val="1"/>
      <w:marLeft w:val="0"/>
      <w:marRight w:val="0"/>
      <w:marTop w:val="0"/>
      <w:marBottom w:val="0"/>
      <w:divBdr>
        <w:top w:val="none" w:sz="0" w:space="0" w:color="auto"/>
        <w:left w:val="none" w:sz="0" w:space="0" w:color="auto"/>
        <w:bottom w:val="none" w:sz="0" w:space="0" w:color="auto"/>
        <w:right w:val="none" w:sz="0" w:space="0" w:color="auto"/>
      </w:divBdr>
    </w:div>
    <w:div w:id="482550263">
      <w:bodyDiv w:val="1"/>
      <w:marLeft w:val="0"/>
      <w:marRight w:val="0"/>
      <w:marTop w:val="0"/>
      <w:marBottom w:val="0"/>
      <w:divBdr>
        <w:top w:val="none" w:sz="0" w:space="0" w:color="auto"/>
        <w:left w:val="none" w:sz="0" w:space="0" w:color="auto"/>
        <w:bottom w:val="none" w:sz="0" w:space="0" w:color="auto"/>
        <w:right w:val="none" w:sz="0" w:space="0" w:color="auto"/>
      </w:divBdr>
    </w:div>
    <w:div w:id="484859164">
      <w:bodyDiv w:val="1"/>
      <w:marLeft w:val="0"/>
      <w:marRight w:val="0"/>
      <w:marTop w:val="0"/>
      <w:marBottom w:val="0"/>
      <w:divBdr>
        <w:top w:val="none" w:sz="0" w:space="0" w:color="auto"/>
        <w:left w:val="none" w:sz="0" w:space="0" w:color="auto"/>
        <w:bottom w:val="none" w:sz="0" w:space="0" w:color="auto"/>
        <w:right w:val="none" w:sz="0" w:space="0" w:color="auto"/>
      </w:divBdr>
    </w:div>
    <w:div w:id="498424500">
      <w:bodyDiv w:val="1"/>
      <w:marLeft w:val="0"/>
      <w:marRight w:val="0"/>
      <w:marTop w:val="0"/>
      <w:marBottom w:val="0"/>
      <w:divBdr>
        <w:top w:val="none" w:sz="0" w:space="0" w:color="auto"/>
        <w:left w:val="none" w:sz="0" w:space="0" w:color="auto"/>
        <w:bottom w:val="none" w:sz="0" w:space="0" w:color="auto"/>
        <w:right w:val="none" w:sz="0" w:space="0" w:color="auto"/>
      </w:divBdr>
    </w:div>
    <w:div w:id="513767130">
      <w:bodyDiv w:val="1"/>
      <w:marLeft w:val="0"/>
      <w:marRight w:val="0"/>
      <w:marTop w:val="0"/>
      <w:marBottom w:val="0"/>
      <w:divBdr>
        <w:top w:val="none" w:sz="0" w:space="0" w:color="auto"/>
        <w:left w:val="none" w:sz="0" w:space="0" w:color="auto"/>
        <w:bottom w:val="none" w:sz="0" w:space="0" w:color="auto"/>
        <w:right w:val="none" w:sz="0" w:space="0" w:color="auto"/>
      </w:divBdr>
    </w:div>
    <w:div w:id="525681477">
      <w:bodyDiv w:val="1"/>
      <w:marLeft w:val="0"/>
      <w:marRight w:val="0"/>
      <w:marTop w:val="0"/>
      <w:marBottom w:val="0"/>
      <w:divBdr>
        <w:top w:val="none" w:sz="0" w:space="0" w:color="auto"/>
        <w:left w:val="none" w:sz="0" w:space="0" w:color="auto"/>
        <w:bottom w:val="none" w:sz="0" w:space="0" w:color="auto"/>
        <w:right w:val="none" w:sz="0" w:space="0" w:color="auto"/>
      </w:divBdr>
    </w:div>
    <w:div w:id="529149497">
      <w:bodyDiv w:val="1"/>
      <w:marLeft w:val="0"/>
      <w:marRight w:val="0"/>
      <w:marTop w:val="0"/>
      <w:marBottom w:val="0"/>
      <w:divBdr>
        <w:top w:val="none" w:sz="0" w:space="0" w:color="auto"/>
        <w:left w:val="none" w:sz="0" w:space="0" w:color="auto"/>
        <w:bottom w:val="none" w:sz="0" w:space="0" w:color="auto"/>
        <w:right w:val="none" w:sz="0" w:space="0" w:color="auto"/>
      </w:divBdr>
    </w:div>
    <w:div w:id="547839104">
      <w:bodyDiv w:val="1"/>
      <w:marLeft w:val="0"/>
      <w:marRight w:val="0"/>
      <w:marTop w:val="0"/>
      <w:marBottom w:val="0"/>
      <w:divBdr>
        <w:top w:val="none" w:sz="0" w:space="0" w:color="auto"/>
        <w:left w:val="none" w:sz="0" w:space="0" w:color="auto"/>
        <w:bottom w:val="none" w:sz="0" w:space="0" w:color="auto"/>
        <w:right w:val="none" w:sz="0" w:space="0" w:color="auto"/>
      </w:divBdr>
    </w:div>
    <w:div w:id="554270544">
      <w:bodyDiv w:val="1"/>
      <w:marLeft w:val="0"/>
      <w:marRight w:val="0"/>
      <w:marTop w:val="0"/>
      <w:marBottom w:val="0"/>
      <w:divBdr>
        <w:top w:val="none" w:sz="0" w:space="0" w:color="auto"/>
        <w:left w:val="none" w:sz="0" w:space="0" w:color="auto"/>
        <w:bottom w:val="none" w:sz="0" w:space="0" w:color="auto"/>
        <w:right w:val="none" w:sz="0" w:space="0" w:color="auto"/>
      </w:divBdr>
    </w:div>
    <w:div w:id="565334199">
      <w:bodyDiv w:val="1"/>
      <w:marLeft w:val="0"/>
      <w:marRight w:val="0"/>
      <w:marTop w:val="0"/>
      <w:marBottom w:val="0"/>
      <w:divBdr>
        <w:top w:val="none" w:sz="0" w:space="0" w:color="auto"/>
        <w:left w:val="none" w:sz="0" w:space="0" w:color="auto"/>
        <w:bottom w:val="none" w:sz="0" w:space="0" w:color="auto"/>
        <w:right w:val="none" w:sz="0" w:space="0" w:color="auto"/>
      </w:divBdr>
    </w:div>
    <w:div w:id="581723782">
      <w:bodyDiv w:val="1"/>
      <w:marLeft w:val="0"/>
      <w:marRight w:val="0"/>
      <w:marTop w:val="0"/>
      <w:marBottom w:val="0"/>
      <w:divBdr>
        <w:top w:val="none" w:sz="0" w:space="0" w:color="auto"/>
        <w:left w:val="none" w:sz="0" w:space="0" w:color="auto"/>
        <w:bottom w:val="none" w:sz="0" w:space="0" w:color="auto"/>
        <w:right w:val="none" w:sz="0" w:space="0" w:color="auto"/>
      </w:divBdr>
    </w:div>
    <w:div w:id="595021618">
      <w:bodyDiv w:val="1"/>
      <w:marLeft w:val="0"/>
      <w:marRight w:val="0"/>
      <w:marTop w:val="0"/>
      <w:marBottom w:val="0"/>
      <w:divBdr>
        <w:top w:val="none" w:sz="0" w:space="0" w:color="auto"/>
        <w:left w:val="none" w:sz="0" w:space="0" w:color="auto"/>
        <w:bottom w:val="none" w:sz="0" w:space="0" w:color="auto"/>
        <w:right w:val="none" w:sz="0" w:space="0" w:color="auto"/>
      </w:divBdr>
    </w:div>
    <w:div w:id="607397493">
      <w:bodyDiv w:val="1"/>
      <w:marLeft w:val="0"/>
      <w:marRight w:val="0"/>
      <w:marTop w:val="0"/>
      <w:marBottom w:val="0"/>
      <w:divBdr>
        <w:top w:val="none" w:sz="0" w:space="0" w:color="auto"/>
        <w:left w:val="none" w:sz="0" w:space="0" w:color="auto"/>
        <w:bottom w:val="none" w:sz="0" w:space="0" w:color="auto"/>
        <w:right w:val="none" w:sz="0" w:space="0" w:color="auto"/>
      </w:divBdr>
    </w:div>
    <w:div w:id="610285586">
      <w:bodyDiv w:val="1"/>
      <w:marLeft w:val="0"/>
      <w:marRight w:val="0"/>
      <w:marTop w:val="0"/>
      <w:marBottom w:val="0"/>
      <w:divBdr>
        <w:top w:val="none" w:sz="0" w:space="0" w:color="auto"/>
        <w:left w:val="none" w:sz="0" w:space="0" w:color="auto"/>
        <w:bottom w:val="none" w:sz="0" w:space="0" w:color="auto"/>
        <w:right w:val="none" w:sz="0" w:space="0" w:color="auto"/>
      </w:divBdr>
    </w:div>
    <w:div w:id="625431112">
      <w:bodyDiv w:val="1"/>
      <w:marLeft w:val="0"/>
      <w:marRight w:val="0"/>
      <w:marTop w:val="0"/>
      <w:marBottom w:val="0"/>
      <w:divBdr>
        <w:top w:val="none" w:sz="0" w:space="0" w:color="auto"/>
        <w:left w:val="none" w:sz="0" w:space="0" w:color="auto"/>
        <w:bottom w:val="none" w:sz="0" w:space="0" w:color="auto"/>
        <w:right w:val="none" w:sz="0" w:space="0" w:color="auto"/>
      </w:divBdr>
    </w:div>
    <w:div w:id="626083552">
      <w:bodyDiv w:val="1"/>
      <w:marLeft w:val="0"/>
      <w:marRight w:val="0"/>
      <w:marTop w:val="0"/>
      <w:marBottom w:val="0"/>
      <w:divBdr>
        <w:top w:val="none" w:sz="0" w:space="0" w:color="auto"/>
        <w:left w:val="none" w:sz="0" w:space="0" w:color="auto"/>
        <w:bottom w:val="none" w:sz="0" w:space="0" w:color="auto"/>
        <w:right w:val="none" w:sz="0" w:space="0" w:color="auto"/>
      </w:divBdr>
    </w:div>
    <w:div w:id="632755393">
      <w:bodyDiv w:val="1"/>
      <w:marLeft w:val="0"/>
      <w:marRight w:val="0"/>
      <w:marTop w:val="0"/>
      <w:marBottom w:val="0"/>
      <w:divBdr>
        <w:top w:val="none" w:sz="0" w:space="0" w:color="auto"/>
        <w:left w:val="none" w:sz="0" w:space="0" w:color="auto"/>
        <w:bottom w:val="none" w:sz="0" w:space="0" w:color="auto"/>
        <w:right w:val="none" w:sz="0" w:space="0" w:color="auto"/>
      </w:divBdr>
    </w:div>
    <w:div w:id="647561862">
      <w:bodyDiv w:val="1"/>
      <w:marLeft w:val="0"/>
      <w:marRight w:val="0"/>
      <w:marTop w:val="0"/>
      <w:marBottom w:val="0"/>
      <w:divBdr>
        <w:top w:val="none" w:sz="0" w:space="0" w:color="auto"/>
        <w:left w:val="none" w:sz="0" w:space="0" w:color="auto"/>
        <w:bottom w:val="none" w:sz="0" w:space="0" w:color="auto"/>
        <w:right w:val="none" w:sz="0" w:space="0" w:color="auto"/>
      </w:divBdr>
    </w:div>
    <w:div w:id="651301260">
      <w:bodyDiv w:val="1"/>
      <w:marLeft w:val="0"/>
      <w:marRight w:val="0"/>
      <w:marTop w:val="0"/>
      <w:marBottom w:val="0"/>
      <w:divBdr>
        <w:top w:val="none" w:sz="0" w:space="0" w:color="auto"/>
        <w:left w:val="none" w:sz="0" w:space="0" w:color="auto"/>
        <w:bottom w:val="none" w:sz="0" w:space="0" w:color="auto"/>
        <w:right w:val="none" w:sz="0" w:space="0" w:color="auto"/>
      </w:divBdr>
    </w:div>
    <w:div w:id="654840357">
      <w:bodyDiv w:val="1"/>
      <w:marLeft w:val="0"/>
      <w:marRight w:val="0"/>
      <w:marTop w:val="0"/>
      <w:marBottom w:val="0"/>
      <w:divBdr>
        <w:top w:val="none" w:sz="0" w:space="0" w:color="auto"/>
        <w:left w:val="none" w:sz="0" w:space="0" w:color="auto"/>
        <w:bottom w:val="none" w:sz="0" w:space="0" w:color="auto"/>
        <w:right w:val="none" w:sz="0" w:space="0" w:color="auto"/>
      </w:divBdr>
    </w:div>
    <w:div w:id="674919396">
      <w:bodyDiv w:val="1"/>
      <w:marLeft w:val="0"/>
      <w:marRight w:val="0"/>
      <w:marTop w:val="0"/>
      <w:marBottom w:val="0"/>
      <w:divBdr>
        <w:top w:val="none" w:sz="0" w:space="0" w:color="auto"/>
        <w:left w:val="none" w:sz="0" w:space="0" w:color="auto"/>
        <w:bottom w:val="none" w:sz="0" w:space="0" w:color="auto"/>
        <w:right w:val="none" w:sz="0" w:space="0" w:color="auto"/>
      </w:divBdr>
    </w:div>
    <w:div w:id="698820272">
      <w:bodyDiv w:val="1"/>
      <w:marLeft w:val="0"/>
      <w:marRight w:val="0"/>
      <w:marTop w:val="0"/>
      <w:marBottom w:val="0"/>
      <w:divBdr>
        <w:top w:val="none" w:sz="0" w:space="0" w:color="auto"/>
        <w:left w:val="none" w:sz="0" w:space="0" w:color="auto"/>
        <w:bottom w:val="none" w:sz="0" w:space="0" w:color="auto"/>
        <w:right w:val="none" w:sz="0" w:space="0" w:color="auto"/>
      </w:divBdr>
    </w:div>
    <w:div w:id="701172727">
      <w:bodyDiv w:val="1"/>
      <w:marLeft w:val="0"/>
      <w:marRight w:val="0"/>
      <w:marTop w:val="0"/>
      <w:marBottom w:val="0"/>
      <w:divBdr>
        <w:top w:val="none" w:sz="0" w:space="0" w:color="auto"/>
        <w:left w:val="none" w:sz="0" w:space="0" w:color="auto"/>
        <w:bottom w:val="none" w:sz="0" w:space="0" w:color="auto"/>
        <w:right w:val="none" w:sz="0" w:space="0" w:color="auto"/>
      </w:divBdr>
    </w:div>
    <w:div w:id="707025274">
      <w:bodyDiv w:val="1"/>
      <w:marLeft w:val="0"/>
      <w:marRight w:val="0"/>
      <w:marTop w:val="0"/>
      <w:marBottom w:val="0"/>
      <w:divBdr>
        <w:top w:val="none" w:sz="0" w:space="0" w:color="auto"/>
        <w:left w:val="none" w:sz="0" w:space="0" w:color="auto"/>
        <w:bottom w:val="none" w:sz="0" w:space="0" w:color="auto"/>
        <w:right w:val="none" w:sz="0" w:space="0" w:color="auto"/>
      </w:divBdr>
    </w:div>
    <w:div w:id="709303933">
      <w:bodyDiv w:val="1"/>
      <w:marLeft w:val="0"/>
      <w:marRight w:val="0"/>
      <w:marTop w:val="0"/>
      <w:marBottom w:val="0"/>
      <w:divBdr>
        <w:top w:val="none" w:sz="0" w:space="0" w:color="auto"/>
        <w:left w:val="none" w:sz="0" w:space="0" w:color="auto"/>
        <w:bottom w:val="none" w:sz="0" w:space="0" w:color="auto"/>
        <w:right w:val="none" w:sz="0" w:space="0" w:color="auto"/>
      </w:divBdr>
    </w:div>
    <w:div w:id="725879067">
      <w:bodyDiv w:val="1"/>
      <w:marLeft w:val="0"/>
      <w:marRight w:val="0"/>
      <w:marTop w:val="0"/>
      <w:marBottom w:val="0"/>
      <w:divBdr>
        <w:top w:val="none" w:sz="0" w:space="0" w:color="auto"/>
        <w:left w:val="none" w:sz="0" w:space="0" w:color="auto"/>
        <w:bottom w:val="none" w:sz="0" w:space="0" w:color="auto"/>
        <w:right w:val="none" w:sz="0" w:space="0" w:color="auto"/>
      </w:divBdr>
    </w:div>
    <w:div w:id="736127074">
      <w:bodyDiv w:val="1"/>
      <w:marLeft w:val="0"/>
      <w:marRight w:val="0"/>
      <w:marTop w:val="0"/>
      <w:marBottom w:val="0"/>
      <w:divBdr>
        <w:top w:val="none" w:sz="0" w:space="0" w:color="auto"/>
        <w:left w:val="none" w:sz="0" w:space="0" w:color="auto"/>
        <w:bottom w:val="none" w:sz="0" w:space="0" w:color="auto"/>
        <w:right w:val="none" w:sz="0" w:space="0" w:color="auto"/>
      </w:divBdr>
    </w:div>
    <w:div w:id="742289163">
      <w:bodyDiv w:val="1"/>
      <w:marLeft w:val="0"/>
      <w:marRight w:val="0"/>
      <w:marTop w:val="0"/>
      <w:marBottom w:val="0"/>
      <w:divBdr>
        <w:top w:val="none" w:sz="0" w:space="0" w:color="auto"/>
        <w:left w:val="none" w:sz="0" w:space="0" w:color="auto"/>
        <w:bottom w:val="none" w:sz="0" w:space="0" w:color="auto"/>
        <w:right w:val="none" w:sz="0" w:space="0" w:color="auto"/>
      </w:divBdr>
    </w:div>
    <w:div w:id="743572266">
      <w:bodyDiv w:val="1"/>
      <w:marLeft w:val="0"/>
      <w:marRight w:val="0"/>
      <w:marTop w:val="0"/>
      <w:marBottom w:val="0"/>
      <w:divBdr>
        <w:top w:val="none" w:sz="0" w:space="0" w:color="auto"/>
        <w:left w:val="none" w:sz="0" w:space="0" w:color="auto"/>
        <w:bottom w:val="none" w:sz="0" w:space="0" w:color="auto"/>
        <w:right w:val="none" w:sz="0" w:space="0" w:color="auto"/>
      </w:divBdr>
    </w:div>
    <w:div w:id="747189458">
      <w:bodyDiv w:val="1"/>
      <w:marLeft w:val="0"/>
      <w:marRight w:val="0"/>
      <w:marTop w:val="0"/>
      <w:marBottom w:val="0"/>
      <w:divBdr>
        <w:top w:val="none" w:sz="0" w:space="0" w:color="auto"/>
        <w:left w:val="none" w:sz="0" w:space="0" w:color="auto"/>
        <w:bottom w:val="none" w:sz="0" w:space="0" w:color="auto"/>
        <w:right w:val="none" w:sz="0" w:space="0" w:color="auto"/>
      </w:divBdr>
    </w:div>
    <w:div w:id="754134921">
      <w:bodyDiv w:val="1"/>
      <w:marLeft w:val="0"/>
      <w:marRight w:val="0"/>
      <w:marTop w:val="0"/>
      <w:marBottom w:val="0"/>
      <w:divBdr>
        <w:top w:val="none" w:sz="0" w:space="0" w:color="auto"/>
        <w:left w:val="none" w:sz="0" w:space="0" w:color="auto"/>
        <w:bottom w:val="none" w:sz="0" w:space="0" w:color="auto"/>
        <w:right w:val="none" w:sz="0" w:space="0" w:color="auto"/>
      </w:divBdr>
    </w:div>
    <w:div w:id="761688269">
      <w:bodyDiv w:val="1"/>
      <w:marLeft w:val="0"/>
      <w:marRight w:val="0"/>
      <w:marTop w:val="0"/>
      <w:marBottom w:val="0"/>
      <w:divBdr>
        <w:top w:val="none" w:sz="0" w:space="0" w:color="auto"/>
        <w:left w:val="none" w:sz="0" w:space="0" w:color="auto"/>
        <w:bottom w:val="none" w:sz="0" w:space="0" w:color="auto"/>
        <w:right w:val="none" w:sz="0" w:space="0" w:color="auto"/>
      </w:divBdr>
    </w:div>
    <w:div w:id="763302875">
      <w:bodyDiv w:val="1"/>
      <w:marLeft w:val="0"/>
      <w:marRight w:val="0"/>
      <w:marTop w:val="0"/>
      <w:marBottom w:val="0"/>
      <w:divBdr>
        <w:top w:val="none" w:sz="0" w:space="0" w:color="auto"/>
        <w:left w:val="none" w:sz="0" w:space="0" w:color="auto"/>
        <w:bottom w:val="none" w:sz="0" w:space="0" w:color="auto"/>
        <w:right w:val="none" w:sz="0" w:space="0" w:color="auto"/>
      </w:divBdr>
    </w:div>
    <w:div w:id="775910080">
      <w:bodyDiv w:val="1"/>
      <w:marLeft w:val="0"/>
      <w:marRight w:val="0"/>
      <w:marTop w:val="0"/>
      <w:marBottom w:val="0"/>
      <w:divBdr>
        <w:top w:val="none" w:sz="0" w:space="0" w:color="auto"/>
        <w:left w:val="none" w:sz="0" w:space="0" w:color="auto"/>
        <w:bottom w:val="none" w:sz="0" w:space="0" w:color="auto"/>
        <w:right w:val="none" w:sz="0" w:space="0" w:color="auto"/>
      </w:divBdr>
    </w:div>
    <w:div w:id="815995356">
      <w:bodyDiv w:val="1"/>
      <w:marLeft w:val="0"/>
      <w:marRight w:val="0"/>
      <w:marTop w:val="0"/>
      <w:marBottom w:val="0"/>
      <w:divBdr>
        <w:top w:val="none" w:sz="0" w:space="0" w:color="auto"/>
        <w:left w:val="none" w:sz="0" w:space="0" w:color="auto"/>
        <w:bottom w:val="none" w:sz="0" w:space="0" w:color="auto"/>
        <w:right w:val="none" w:sz="0" w:space="0" w:color="auto"/>
      </w:divBdr>
    </w:div>
    <w:div w:id="833035719">
      <w:bodyDiv w:val="1"/>
      <w:marLeft w:val="0"/>
      <w:marRight w:val="0"/>
      <w:marTop w:val="0"/>
      <w:marBottom w:val="0"/>
      <w:divBdr>
        <w:top w:val="none" w:sz="0" w:space="0" w:color="auto"/>
        <w:left w:val="none" w:sz="0" w:space="0" w:color="auto"/>
        <w:bottom w:val="none" w:sz="0" w:space="0" w:color="auto"/>
        <w:right w:val="none" w:sz="0" w:space="0" w:color="auto"/>
      </w:divBdr>
    </w:div>
    <w:div w:id="835269306">
      <w:bodyDiv w:val="1"/>
      <w:marLeft w:val="0"/>
      <w:marRight w:val="0"/>
      <w:marTop w:val="0"/>
      <w:marBottom w:val="0"/>
      <w:divBdr>
        <w:top w:val="none" w:sz="0" w:space="0" w:color="auto"/>
        <w:left w:val="none" w:sz="0" w:space="0" w:color="auto"/>
        <w:bottom w:val="none" w:sz="0" w:space="0" w:color="auto"/>
        <w:right w:val="none" w:sz="0" w:space="0" w:color="auto"/>
      </w:divBdr>
    </w:div>
    <w:div w:id="842932491">
      <w:bodyDiv w:val="1"/>
      <w:marLeft w:val="0"/>
      <w:marRight w:val="0"/>
      <w:marTop w:val="0"/>
      <w:marBottom w:val="0"/>
      <w:divBdr>
        <w:top w:val="none" w:sz="0" w:space="0" w:color="auto"/>
        <w:left w:val="none" w:sz="0" w:space="0" w:color="auto"/>
        <w:bottom w:val="none" w:sz="0" w:space="0" w:color="auto"/>
        <w:right w:val="none" w:sz="0" w:space="0" w:color="auto"/>
      </w:divBdr>
    </w:div>
    <w:div w:id="852647898">
      <w:bodyDiv w:val="1"/>
      <w:marLeft w:val="0"/>
      <w:marRight w:val="0"/>
      <w:marTop w:val="0"/>
      <w:marBottom w:val="0"/>
      <w:divBdr>
        <w:top w:val="none" w:sz="0" w:space="0" w:color="auto"/>
        <w:left w:val="none" w:sz="0" w:space="0" w:color="auto"/>
        <w:bottom w:val="none" w:sz="0" w:space="0" w:color="auto"/>
        <w:right w:val="none" w:sz="0" w:space="0" w:color="auto"/>
      </w:divBdr>
    </w:div>
    <w:div w:id="855929098">
      <w:bodyDiv w:val="1"/>
      <w:marLeft w:val="0"/>
      <w:marRight w:val="0"/>
      <w:marTop w:val="0"/>
      <w:marBottom w:val="0"/>
      <w:divBdr>
        <w:top w:val="none" w:sz="0" w:space="0" w:color="auto"/>
        <w:left w:val="none" w:sz="0" w:space="0" w:color="auto"/>
        <w:bottom w:val="none" w:sz="0" w:space="0" w:color="auto"/>
        <w:right w:val="none" w:sz="0" w:space="0" w:color="auto"/>
      </w:divBdr>
    </w:div>
    <w:div w:id="863058379">
      <w:bodyDiv w:val="1"/>
      <w:marLeft w:val="0"/>
      <w:marRight w:val="0"/>
      <w:marTop w:val="0"/>
      <w:marBottom w:val="0"/>
      <w:divBdr>
        <w:top w:val="none" w:sz="0" w:space="0" w:color="auto"/>
        <w:left w:val="none" w:sz="0" w:space="0" w:color="auto"/>
        <w:bottom w:val="none" w:sz="0" w:space="0" w:color="auto"/>
        <w:right w:val="none" w:sz="0" w:space="0" w:color="auto"/>
      </w:divBdr>
    </w:div>
    <w:div w:id="866337600">
      <w:bodyDiv w:val="1"/>
      <w:marLeft w:val="0"/>
      <w:marRight w:val="0"/>
      <w:marTop w:val="0"/>
      <w:marBottom w:val="0"/>
      <w:divBdr>
        <w:top w:val="none" w:sz="0" w:space="0" w:color="auto"/>
        <w:left w:val="none" w:sz="0" w:space="0" w:color="auto"/>
        <w:bottom w:val="none" w:sz="0" w:space="0" w:color="auto"/>
        <w:right w:val="none" w:sz="0" w:space="0" w:color="auto"/>
      </w:divBdr>
    </w:div>
    <w:div w:id="879509192">
      <w:bodyDiv w:val="1"/>
      <w:marLeft w:val="0"/>
      <w:marRight w:val="0"/>
      <w:marTop w:val="0"/>
      <w:marBottom w:val="0"/>
      <w:divBdr>
        <w:top w:val="none" w:sz="0" w:space="0" w:color="auto"/>
        <w:left w:val="none" w:sz="0" w:space="0" w:color="auto"/>
        <w:bottom w:val="none" w:sz="0" w:space="0" w:color="auto"/>
        <w:right w:val="none" w:sz="0" w:space="0" w:color="auto"/>
      </w:divBdr>
    </w:div>
    <w:div w:id="882209946">
      <w:bodyDiv w:val="1"/>
      <w:marLeft w:val="0"/>
      <w:marRight w:val="0"/>
      <w:marTop w:val="0"/>
      <w:marBottom w:val="0"/>
      <w:divBdr>
        <w:top w:val="none" w:sz="0" w:space="0" w:color="auto"/>
        <w:left w:val="none" w:sz="0" w:space="0" w:color="auto"/>
        <w:bottom w:val="none" w:sz="0" w:space="0" w:color="auto"/>
        <w:right w:val="none" w:sz="0" w:space="0" w:color="auto"/>
      </w:divBdr>
    </w:div>
    <w:div w:id="883635245">
      <w:bodyDiv w:val="1"/>
      <w:marLeft w:val="0"/>
      <w:marRight w:val="0"/>
      <w:marTop w:val="0"/>
      <w:marBottom w:val="0"/>
      <w:divBdr>
        <w:top w:val="none" w:sz="0" w:space="0" w:color="auto"/>
        <w:left w:val="none" w:sz="0" w:space="0" w:color="auto"/>
        <w:bottom w:val="none" w:sz="0" w:space="0" w:color="auto"/>
        <w:right w:val="none" w:sz="0" w:space="0" w:color="auto"/>
      </w:divBdr>
    </w:div>
    <w:div w:id="915213072">
      <w:bodyDiv w:val="1"/>
      <w:marLeft w:val="0"/>
      <w:marRight w:val="0"/>
      <w:marTop w:val="0"/>
      <w:marBottom w:val="0"/>
      <w:divBdr>
        <w:top w:val="none" w:sz="0" w:space="0" w:color="auto"/>
        <w:left w:val="none" w:sz="0" w:space="0" w:color="auto"/>
        <w:bottom w:val="none" w:sz="0" w:space="0" w:color="auto"/>
        <w:right w:val="none" w:sz="0" w:space="0" w:color="auto"/>
      </w:divBdr>
    </w:div>
    <w:div w:id="918028590">
      <w:bodyDiv w:val="1"/>
      <w:marLeft w:val="0"/>
      <w:marRight w:val="0"/>
      <w:marTop w:val="0"/>
      <w:marBottom w:val="0"/>
      <w:divBdr>
        <w:top w:val="none" w:sz="0" w:space="0" w:color="auto"/>
        <w:left w:val="none" w:sz="0" w:space="0" w:color="auto"/>
        <w:bottom w:val="none" w:sz="0" w:space="0" w:color="auto"/>
        <w:right w:val="none" w:sz="0" w:space="0" w:color="auto"/>
      </w:divBdr>
    </w:div>
    <w:div w:id="941297686">
      <w:bodyDiv w:val="1"/>
      <w:marLeft w:val="0"/>
      <w:marRight w:val="0"/>
      <w:marTop w:val="0"/>
      <w:marBottom w:val="0"/>
      <w:divBdr>
        <w:top w:val="none" w:sz="0" w:space="0" w:color="auto"/>
        <w:left w:val="none" w:sz="0" w:space="0" w:color="auto"/>
        <w:bottom w:val="none" w:sz="0" w:space="0" w:color="auto"/>
        <w:right w:val="none" w:sz="0" w:space="0" w:color="auto"/>
      </w:divBdr>
    </w:div>
    <w:div w:id="951135131">
      <w:bodyDiv w:val="1"/>
      <w:marLeft w:val="0"/>
      <w:marRight w:val="0"/>
      <w:marTop w:val="0"/>
      <w:marBottom w:val="0"/>
      <w:divBdr>
        <w:top w:val="none" w:sz="0" w:space="0" w:color="auto"/>
        <w:left w:val="none" w:sz="0" w:space="0" w:color="auto"/>
        <w:bottom w:val="none" w:sz="0" w:space="0" w:color="auto"/>
        <w:right w:val="none" w:sz="0" w:space="0" w:color="auto"/>
      </w:divBdr>
    </w:div>
    <w:div w:id="969820494">
      <w:bodyDiv w:val="1"/>
      <w:marLeft w:val="0"/>
      <w:marRight w:val="0"/>
      <w:marTop w:val="0"/>
      <w:marBottom w:val="0"/>
      <w:divBdr>
        <w:top w:val="none" w:sz="0" w:space="0" w:color="auto"/>
        <w:left w:val="none" w:sz="0" w:space="0" w:color="auto"/>
        <w:bottom w:val="none" w:sz="0" w:space="0" w:color="auto"/>
        <w:right w:val="none" w:sz="0" w:space="0" w:color="auto"/>
      </w:divBdr>
    </w:div>
    <w:div w:id="976379168">
      <w:bodyDiv w:val="1"/>
      <w:marLeft w:val="0"/>
      <w:marRight w:val="0"/>
      <w:marTop w:val="0"/>
      <w:marBottom w:val="0"/>
      <w:divBdr>
        <w:top w:val="none" w:sz="0" w:space="0" w:color="auto"/>
        <w:left w:val="none" w:sz="0" w:space="0" w:color="auto"/>
        <w:bottom w:val="none" w:sz="0" w:space="0" w:color="auto"/>
        <w:right w:val="none" w:sz="0" w:space="0" w:color="auto"/>
      </w:divBdr>
    </w:div>
    <w:div w:id="978416342">
      <w:bodyDiv w:val="1"/>
      <w:marLeft w:val="0"/>
      <w:marRight w:val="0"/>
      <w:marTop w:val="0"/>
      <w:marBottom w:val="0"/>
      <w:divBdr>
        <w:top w:val="none" w:sz="0" w:space="0" w:color="auto"/>
        <w:left w:val="none" w:sz="0" w:space="0" w:color="auto"/>
        <w:bottom w:val="none" w:sz="0" w:space="0" w:color="auto"/>
        <w:right w:val="none" w:sz="0" w:space="0" w:color="auto"/>
      </w:divBdr>
    </w:div>
    <w:div w:id="979304610">
      <w:bodyDiv w:val="1"/>
      <w:marLeft w:val="0"/>
      <w:marRight w:val="0"/>
      <w:marTop w:val="0"/>
      <w:marBottom w:val="0"/>
      <w:divBdr>
        <w:top w:val="none" w:sz="0" w:space="0" w:color="auto"/>
        <w:left w:val="none" w:sz="0" w:space="0" w:color="auto"/>
        <w:bottom w:val="none" w:sz="0" w:space="0" w:color="auto"/>
        <w:right w:val="none" w:sz="0" w:space="0" w:color="auto"/>
      </w:divBdr>
    </w:div>
    <w:div w:id="981689884">
      <w:bodyDiv w:val="1"/>
      <w:marLeft w:val="0"/>
      <w:marRight w:val="0"/>
      <w:marTop w:val="0"/>
      <w:marBottom w:val="0"/>
      <w:divBdr>
        <w:top w:val="none" w:sz="0" w:space="0" w:color="auto"/>
        <w:left w:val="none" w:sz="0" w:space="0" w:color="auto"/>
        <w:bottom w:val="none" w:sz="0" w:space="0" w:color="auto"/>
        <w:right w:val="none" w:sz="0" w:space="0" w:color="auto"/>
      </w:divBdr>
    </w:div>
    <w:div w:id="1003430937">
      <w:bodyDiv w:val="1"/>
      <w:marLeft w:val="0"/>
      <w:marRight w:val="0"/>
      <w:marTop w:val="0"/>
      <w:marBottom w:val="0"/>
      <w:divBdr>
        <w:top w:val="none" w:sz="0" w:space="0" w:color="auto"/>
        <w:left w:val="none" w:sz="0" w:space="0" w:color="auto"/>
        <w:bottom w:val="none" w:sz="0" w:space="0" w:color="auto"/>
        <w:right w:val="none" w:sz="0" w:space="0" w:color="auto"/>
      </w:divBdr>
    </w:div>
    <w:div w:id="1008945244">
      <w:bodyDiv w:val="1"/>
      <w:marLeft w:val="0"/>
      <w:marRight w:val="0"/>
      <w:marTop w:val="0"/>
      <w:marBottom w:val="0"/>
      <w:divBdr>
        <w:top w:val="none" w:sz="0" w:space="0" w:color="auto"/>
        <w:left w:val="none" w:sz="0" w:space="0" w:color="auto"/>
        <w:bottom w:val="none" w:sz="0" w:space="0" w:color="auto"/>
        <w:right w:val="none" w:sz="0" w:space="0" w:color="auto"/>
      </w:divBdr>
    </w:div>
    <w:div w:id="1028261294">
      <w:bodyDiv w:val="1"/>
      <w:marLeft w:val="0"/>
      <w:marRight w:val="0"/>
      <w:marTop w:val="0"/>
      <w:marBottom w:val="0"/>
      <w:divBdr>
        <w:top w:val="none" w:sz="0" w:space="0" w:color="auto"/>
        <w:left w:val="none" w:sz="0" w:space="0" w:color="auto"/>
        <w:bottom w:val="none" w:sz="0" w:space="0" w:color="auto"/>
        <w:right w:val="none" w:sz="0" w:space="0" w:color="auto"/>
      </w:divBdr>
    </w:div>
    <w:div w:id="1034159322">
      <w:bodyDiv w:val="1"/>
      <w:marLeft w:val="0"/>
      <w:marRight w:val="0"/>
      <w:marTop w:val="0"/>
      <w:marBottom w:val="0"/>
      <w:divBdr>
        <w:top w:val="none" w:sz="0" w:space="0" w:color="auto"/>
        <w:left w:val="none" w:sz="0" w:space="0" w:color="auto"/>
        <w:bottom w:val="none" w:sz="0" w:space="0" w:color="auto"/>
        <w:right w:val="none" w:sz="0" w:space="0" w:color="auto"/>
      </w:divBdr>
    </w:div>
    <w:div w:id="1053457256">
      <w:bodyDiv w:val="1"/>
      <w:marLeft w:val="0"/>
      <w:marRight w:val="0"/>
      <w:marTop w:val="0"/>
      <w:marBottom w:val="0"/>
      <w:divBdr>
        <w:top w:val="none" w:sz="0" w:space="0" w:color="auto"/>
        <w:left w:val="none" w:sz="0" w:space="0" w:color="auto"/>
        <w:bottom w:val="none" w:sz="0" w:space="0" w:color="auto"/>
        <w:right w:val="none" w:sz="0" w:space="0" w:color="auto"/>
      </w:divBdr>
    </w:div>
    <w:div w:id="1058481823">
      <w:bodyDiv w:val="1"/>
      <w:marLeft w:val="0"/>
      <w:marRight w:val="0"/>
      <w:marTop w:val="0"/>
      <w:marBottom w:val="0"/>
      <w:divBdr>
        <w:top w:val="none" w:sz="0" w:space="0" w:color="auto"/>
        <w:left w:val="none" w:sz="0" w:space="0" w:color="auto"/>
        <w:bottom w:val="none" w:sz="0" w:space="0" w:color="auto"/>
        <w:right w:val="none" w:sz="0" w:space="0" w:color="auto"/>
      </w:divBdr>
    </w:div>
    <w:div w:id="1058821895">
      <w:bodyDiv w:val="1"/>
      <w:marLeft w:val="0"/>
      <w:marRight w:val="0"/>
      <w:marTop w:val="0"/>
      <w:marBottom w:val="0"/>
      <w:divBdr>
        <w:top w:val="none" w:sz="0" w:space="0" w:color="auto"/>
        <w:left w:val="none" w:sz="0" w:space="0" w:color="auto"/>
        <w:bottom w:val="none" w:sz="0" w:space="0" w:color="auto"/>
        <w:right w:val="none" w:sz="0" w:space="0" w:color="auto"/>
      </w:divBdr>
    </w:div>
    <w:div w:id="1060399156">
      <w:bodyDiv w:val="1"/>
      <w:marLeft w:val="0"/>
      <w:marRight w:val="0"/>
      <w:marTop w:val="0"/>
      <w:marBottom w:val="0"/>
      <w:divBdr>
        <w:top w:val="none" w:sz="0" w:space="0" w:color="auto"/>
        <w:left w:val="none" w:sz="0" w:space="0" w:color="auto"/>
        <w:bottom w:val="none" w:sz="0" w:space="0" w:color="auto"/>
        <w:right w:val="none" w:sz="0" w:space="0" w:color="auto"/>
      </w:divBdr>
    </w:div>
    <w:div w:id="1063989401">
      <w:bodyDiv w:val="1"/>
      <w:marLeft w:val="0"/>
      <w:marRight w:val="0"/>
      <w:marTop w:val="0"/>
      <w:marBottom w:val="0"/>
      <w:divBdr>
        <w:top w:val="none" w:sz="0" w:space="0" w:color="auto"/>
        <w:left w:val="none" w:sz="0" w:space="0" w:color="auto"/>
        <w:bottom w:val="none" w:sz="0" w:space="0" w:color="auto"/>
        <w:right w:val="none" w:sz="0" w:space="0" w:color="auto"/>
      </w:divBdr>
    </w:div>
    <w:div w:id="1064179697">
      <w:bodyDiv w:val="1"/>
      <w:marLeft w:val="0"/>
      <w:marRight w:val="0"/>
      <w:marTop w:val="0"/>
      <w:marBottom w:val="0"/>
      <w:divBdr>
        <w:top w:val="none" w:sz="0" w:space="0" w:color="auto"/>
        <w:left w:val="none" w:sz="0" w:space="0" w:color="auto"/>
        <w:bottom w:val="none" w:sz="0" w:space="0" w:color="auto"/>
        <w:right w:val="none" w:sz="0" w:space="0" w:color="auto"/>
      </w:divBdr>
    </w:div>
    <w:div w:id="1066219023">
      <w:bodyDiv w:val="1"/>
      <w:marLeft w:val="0"/>
      <w:marRight w:val="0"/>
      <w:marTop w:val="0"/>
      <w:marBottom w:val="0"/>
      <w:divBdr>
        <w:top w:val="none" w:sz="0" w:space="0" w:color="auto"/>
        <w:left w:val="none" w:sz="0" w:space="0" w:color="auto"/>
        <w:bottom w:val="none" w:sz="0" w:space="0" w:color="auto"/>
        <w:right w:val="none" w:sz="0" w:space="0" w:color="auto"/>
      </w:divBdr>
    </w:div>
    <w:div w:id="1077705702">
      <w:bodyDiv w:val="1"/>
      <w:marLeft w:val="0"/>
      <w:marRight w:val="0"/>
      <w:marTop w:val="0"/>
      <w:marBottom w:val="0"/>
      <w:divBdr>
        <w:top w:val="none" w:sz="0" w:space="0" w:color="auto"/>
        <w:left w:val="none" w:sz="0" w:space="0" w:color="auto"/>
        <w:bottom w:val="none" w:sz="0" w:space="0" w:color="auto"/>
        <w:right w:val="none" w:sz="0" w:space="0" w:color="auto"/>
      </w:divBdr>
    </w:div>
    <w:div w:id="1078132763">
      <w:bodyDiv w:val="1"/>
      <w:marLeft w:val="0"/>
      <w:marRight w:val="0"/>
      <w:marTop w:val="0"/>
      <w:marBottom w:val="0"/>
      <w:divBdr>
        <w:top w:val="none" w:sz="0" w:space="0" w:color="auto"/>
        <w:left w:val="none" w:sz="0" w:space="0" w:color="auto"/>
        <w:bottom w:val="none" w:sz="0" w:space="0" w:color="auto"/>
        <w:right w:val="none" w:sz="0" w:space="0" w:color="auto"/>
      </w:divBdr>
    </w:div>
    <w:div w:id="1083842712">
      <w:bodyDiv w:val="1"/>
      <w:marLeft w:val="0"/>
      <w:marRight w:val="0"/>
      <w:marTop w:val="0"/>
      <w:marBottom w:val="0"/>
      <w:divBdr>
        <w:top w:val="none" w:sz="0" w:space="0" w:color="auto"/>
        <w:left w:val="none" w:sz="0" w:space="0" w:color="auto"/>
        <w:bottom w:val="none" w:sz="0" w:space="0" w:color="auto"/>
        <w:right w:val="none" w:sz="0" w:space="0" w:color="auto"/>
      </w:divBdr>
    </w:div>
    <w:div w:id="1122042879">
      <w:bodyDiv w:val="1"/>
      <w:marLeft w:val="0"/>
      <w:marRight w:val="0"/>
      <w:marTop w:val="0"/>
      <w:marBottom w:val="0"/>
      <w:divBdr>
        <w:top w:val="none" w:sz="0" w:space="0" w:color="auto"/>
        <w:left w:val="none" w:sz="0" w:space="0" w:color="auto"/>
        <w:bottom w:val="none" w:sz="0" w:space="0" w:color="auto"/>
        <w:right w:val="none" w:sz="0" w:space="0" w:color="auto"/>
      </w:divBdr>
    </w:div>
    <w:div w:id="1122767707">
      <w:bodyDiv w:val="1"/>
      <w:marLeft w:val="0"/>
      <w:marRight w:val="0"/>
      <w:marTop w:val="0"/>
      <w:marBottom w:val="0"/>
      <w:divBdr>
        <w:top w:val="none" w:sz="0" w:space="0" w:color="auto"/>
        <w:left w:val="none" w:sz="0" w:space="0" w:color="auto"/>
        <w:bottom w:val="none" w:sz="0" w:space="0" w:color="auto"/>
        <w:right w:val="none" w:sz="0" w:space="0" w:color="auto"/>
      </w:divBdr>
    </w:div>
    <w:div w:id="1124235241">
      <w:bodyDiv w:val="1"/>
      <w:marLeft w:val="0"/>
      <w:marRight w:val="0"/>
      <w:marTop w:val="0"/>
      <w:marBottom w:val="0"/>
      <w:divBdr>
        <w:top w:val="none" w:sz="0" w:space="0" w:color="auto"/>
        <w:left w:val="none" w:sz="0" w:space="0" w:color="auto"/>
        <w:bottom w:val="none" w:sz="0" w:space="0" w:color="auto"/>
        <w:right w:val="none" w:sz="0" w:space="0" w:color="auto"/>
      </w:divBdr>
    </w:div>
    <w:div w:id="1141731623">
      <w:bodyDiv w:val="1"/>
      <w:marLeft w:val="0"/>
      <w:marRight w:val="0"/>
      <w:marTop w:val="0"/>
      <w:marBottom w:val="0"/>
      <w:divBdr>
        <w:top w:val="none" w:sz="0" w:space="0" w:color="auto"/>
        <w:left w:val="none" w:sz="0" w:space="0" w:color="auto"/>
        <w:bottom w:val="none" w:sz="0" w:space="0" w:color="auto"/>
        <w:right w:val="none" w:sz="0" w:space="0" w:color="auto"/>
      </w:divBdr>
    </w:div>
    <w:div w:id="1151022544">
      <w:bodyDiv w:val="1"/>
      <w:marLeft w:val="0"/>
      <w:marRight w:val="0"/>
      <w:marTop w:val="0"/>
      <w:marBottom w:val="0"/>
      <w:divBdr>
        <w:top w:val="none" w:sz="0" w:space="0" w:color="auto"/>
        <w:left w:val="none" w:sz="0" w:space="0" w:color="auto"/>
        <w:bottom w:val="none" w:sz="0" w:space="0" w:color="auto"/>
        <w:right w:val="none" w:sz="0" w:space="0" w:color="auto"/>
      </w:divBdr>
    </w:div>
    <w:div w:id="1161694932">
      <w:bodyDiv w:val="1"/>
      <w:marLeft w:val="0"/>
      <w:marRight w:val="0"/>
      <w:marTop w:val="0"/>
      <w:marBottom w:val="0"/>
      <w:divBdr>
        <w:top w:val="none" w:sz="0" w:space="0" w:color="auto"/>
        <w:left w:val="none" w:sz="0" w:space="0" w:color="auto"/>
        <w:bottom w:val="none" w:sz="0" w:space="0" w:color="auto"/>
        <w:right w:val="none" w:sz="0" w:space="0" w:color="auto"/>
      </w:divBdr>
    </w:div>
    <w:div w:id="1174806797">
      <w:bodyDiv w:val="1"/>
      <w:marLeft w:val="0"/>
      <w:marRight w:val="0"/>
      <w:marTop w:val="0"/>
      <w:marBottom w:val="0"/>
      <w:divBdr>
        <w:top w:val="none" w:sz="0" w:space="0" w:color="auto"/>
        <w:left w:val="none" w:sz="0" w:space="0" w:color="auto"/>
        <w:bottom w:val="none" w:sz="0" w:space="0" w:color="auto"/>
        <w:right w:val="none" w:sz="0" w:space="0" w:color="auto"/>
      </w:divBdr>
    </w:div>
    <w:div w:id="1188979837">
      <w:bodyDiv w:val="1"/>
      <w:marLeft w:val="0"/>
      <w:marRight w:val="0"/>
      <w:marTop w:val="0"/>
      <w:marBottom w:val="0"/>
      <w:divBdr>
        <w:top w:val="none" w:sz="0" w:space="0" w:color="auto"/>
        <w:left w:val="none" w:sz="0" w:space="0" w:color="auto"/>
        <w:bottom w:val="none" w:sz="0" w:space="0" w:color="auto"/>
        <w:right w:val="none" w:sz="0" w:space="0" w:color="auto"/>
      </w:divBdr>
    </w:div>
    <w:div w:id="1195775919">
      <w:bodyDiv w:val="1"/>
      <w:marLeft w:val="0"/>
      <w:marRight w:val="0"/>
      <w:marTop w:val="0"/>
      <w:marBottom w:val="0"/>
      <w:divBdr>
        <w:top w:val="none" w:sz="0" w:space="0" w:color="auto"/>
        <w:left w:val="none" w:sz="0" w:space="0" w:color="auto"/>
        <w:bottom w:val="none" w:sz="0" w:space="0" w:color="auto"/>
        <w:right w:val="none" w:sz="0" w:space="0" w:color="auto"/>
      </w:divBdr>
    </w:div>
    <w:div w:id="1202597518">
      <w:bodyDiv w:val="1"/>
      <w:marLeft w:val="0"/>
      <w:marRight w:val="0"/>
      <w:marTop w:val="0"/>
      <w:marBottom w:val="0"/>
      <w:divBdr>
        <w:top w:val="none" w:sz="0" w:space="0" w:color="auto"/>
        <w:left w:val="none" w:sz="0" w:space="0" w:color="auto"/>
        <w:bottom w:val="none" w:sz="0" w:space="0" w:color="auto"/>
        <w:right w:val="none" w:sz="0" w:space="0" w:color="auto"/>
      </w:divBdr>
    </w:div>
    <w:div w:id="1210260720">
      <w:bodyDiv w:val="1"/>
      <w:marLeft w:val="0"/>
      <w:marRight w:val="0"/>
      <w:marTop w:val="0"/>
      <w:marBottom w:val="0"/>
      <w:divBdr>
        <w:top w:val="none" w:sz="0" w:space="0" w:color="auto"/>
        <w:left w:val="none" w:sz="0" w:space="0" w:color="auto"/>
        <w:bottom w:val="none" w:sz="0" w:space="0" w:color="auto"/>
        <w:right w:val="none" w:sz="0" w:space="0" w:color="auto"/>
      </w:divBdr>
    </w:div>
    <w:div w:id="1222328182">
      <w:bodyDiv w:val="1"/>
      <w:marLeft w:val="0"/>
      <w:marRight w:val="0"/>
      <w:marTop w:val="0"/>
      <w:marBottom w:val="0"/>
      <w:divBdr>
        <w:top w:val="none" w:sz="0" w:space="0" w:color="auto"/>
        <w:left w:val="none" w:sz="0" w:space="0" w:color="auto"/>
        <w:bottom w:val="none" w:sz="0" w:space="0" w:color="auto"/>
        <w:right w:val="none" w:sz="0" w:space="0" w:color="auto"/>
      </w:divBdr>
    </w:div>
    <w:div w:id="1235356355">
      <w:bodyDiv w:val="1"/>
      <w:marLeft w:val="0"/>
      <w:marRight w:val="0"/>
      <w:marTop w:val="0"/>
      <w:marBottom w:val="0"/>
      <w:divBdr>
        <w:top w:val="none" w:sz="0" w:space="0" w:color="auto"/>
        <w:left w:val="none" w:sz="0" w:space="0" w:color="auto"/>
        <w:bottom w:val="none" w:sz="0" w:space="0" w:color="auto"/>
        <w:right w:val="none" w:sz="0" w:space="0" w:color="auto"/>
      </w:divBdr>
    </w:div>
    <w:div w:id="1258948515">
      <w:bodyDiv w:val="1"/>
      <w:marLeft w:val="0"/>
      <w:marRight w:val="0"/>
      <w:marTop w:val="0"/>
      <w:marBottom w:val="0"/>
      <w:divBdr>
        <w:top w:val="none" w:sz="0" w:space="0" w:color="auto"/>
        <w:left w:val="none" w:sz="0" w:space="0" w:color="auto"/>
        <w:bottom w:val="none" w:sz="0" w:space="0" w:color="auto"/>
        <w:right w:val="none" w:sz="0" w:space="0" w:color="auto"/>
      </w:divBdr>
    </w:div>
    <w:div w:id="1260798083">
      <w:bodyDiv w:val="1"/>
      <w:marLeft w:val="0"/>
      <w:marRight w:val="0"/>
      <w:marTop w:val="0"/>
      <w:marBottom w:val="0"/>
      <w:divBdr>
        <w:top w:val="none" w:sz="0" w:space="0" w:color="auto"/>
        <w:left w:val="none" w:sz="0" w:space="0" w:color="auto"/>
        <w:bottom w:val="none" w:sz="0" w:space="0" w:color="auto"/>
        <w:right w:val="none" w:sz="0" w:space="0" w:color="auto"/>
      </w:divBdr>
    </w:div>
    <w:div w:id="1265847691">
      <w:bodyDiv w:val="1"/>
      <w:marLeft w:val="0"/>
      <w:marRight w:val="0"/>
      <w:marTop w:val="0"/>
      <w:marBottom w:val="0"/>
      <w:divBdr>
        <w:top w:val="none" w:sz="0" w:space="0" w:color="auto"/>
        <w:left w:val="none" w:sz="0" w:space="0" w:color="auto"/>
        <w:bottom w:val="none" w:sz="0" w:space="0" w:color="auto"/>
        <w:right w:val="none" w:sz="0" w:space="0" w:color="auto"/>
      </w:divBdr>
    </w:div>
    <w:div w:id="1284507703">
      <w:bodyDiv w:val="1"/>
      <w:marLeft w:val="0"/>
      <w:marRight w:val="0"/>
      <w:marTop w:val="0"/>
      <w:marBottom w:val="0"/>
      <w:divBdr>
        <w:top w:val="none" w:sz="0" w:space="0" w:color="auto"/>
        <w:left w:val="none" w:sz="0" w:space="0" w:color="auto"/>
        <w:bottom w:val="none" w:sz="0" w:space="0" w:color="auto"/>
        <w:right w:val="none" w:sz="0" w:space="0" w:color="auto"/>
      </w:divBdr>
    </w:div>
    <w:div w:id="1291279435">
      <w:bodyDiv w:val="1"/>
      <w:marLeft w:val="0"/>
      <w:marRight w:val="0"/>
      <w:marTop w:val="0"/>
      <w:marBottom w:val="0"/>
      <w:divBdr>
        <w:top w:val="none" w:sz="0" w:space="0" w:color="auto"/>
        <w:left w:val="none" w:sz="0" w:space="0" w:color="auto"/>
        <w:bottom w:val="none" w:sz="0" w:space="0" w:color="auto"/>
        <w:right w:val="none" w:sz="0" w:space="0" w:color="auto"/>
      </w:divBdr>
    </w:div>
    <w:div w:id="1295597753">
      <w:bodyDiv w:val="1"/>
      <w:marLeft w:val="0"/>
      <w:marRight w:val="0"/>
      <w:marTop w:val="0"/>
      <w:marBottom w:val="0"/>
      <w:divBdr>
        <w:top w:val="none" w:sz="0" w:space="0" w:color="auto"/>
        <w:left w:val="none" w:sz="0" w:space="0" w:color="auto"/>
        <w:bottom w:val="none" w:sz="0" w:space="0" w:color="auto"/>
        <w:right w:val="none" w:sz="0" w:space="0" w:color="auto"/>
      </w:divBdr>
    </w:div>
    <w:div w:id="1297251778">
      <w:bodyDiv w:val="1"/>
      <w:marLeft w:val="0"/>
      <w:marRight w:val="0"/>
      <w:marTop w:val="0"/>
      <w:marBottom w:val="0"/>
      <w:divBdr>
        <w:top w:val="none" w:sz="0" w:space="0" w:color="auto"/>
        <w:left w:val="none" w:sz="0" w:space="0" w:color="auto"/>
        <w:bottom w:val="none" w:sz="0" w:space="0" w:color="auto"/>
        <w:right w:val="none" w:sz="0" w:space="0" w:color="auto"/>
      </w:divBdr>
    </w:div>
    <w:div w:id="1324815229">
      <w:bodyDiv w:val="1"/>
      <w:marLeft w:val="0"/>
      <w:marRight w:val="0"/>
      <w:marTop w:val="0"/>
      <w:marBottom w:val="0"/>
      <w:divBdr>
        <w:top w:val="none" w:sz="0" w:space="0" w:color="auto"/>
        <w:left w:val="none" w:sz="0" w:space="0" w:color="auto"/>
        <w:bottom w:val="none" w:sz="0" w:space="0" w:color="auto"/>
        <w:right w:val="none" w:sz="0" w:space="0" w:color="auto"/>
      </w:divBdr>
    </w:div>
    <w:div w:id="1350450112">
      <w:bodyDiv w:val="1"/>
      <w:marLeft w:val="0"/>
      <w:marRight w:val="0"/>
      <w:marTop w:val="0"/>
      <w:marBottom w:val="0"/>
      <w:divBdr>
        <w:top w:val="none" w:sz="0" w:space="0" w:color="auto"/>
        <w:left w:val="none" w:sz="0" w:space="0" w:color="auto"/>
        <w:bottom w:val="none" w:sz="0" w:space="0" w:color="auto"/>
        <w:right w:val="none" w:sz="0" w:space="0" w:color="auto"/>
      </w:divBdr>
    </w:div>
    <w:div w:id="1358118199">
      <w:bodyDiv w:val="1"/>
      <w:marLeft w:val="0"/>
      <w:marRight w:val="0"/>
      <w:marTop w:val="0"/>
      <w:marBottom w:val="0"/>
      <w:divBdr>
        <w:top w:val="none" w:sz="0" w:space="0" w:color="auto"/>
        <w:left w:val="none" w:sz="0" w:space="0" w:color="auto"/>
        <w:bottom w:val="none" w:sz="0" w:space="0" w:color="auto"/>
        <w:right w:val="none" w:sz="0" w:space="0" w:color="auto"/>
      </w:divBdr>
    </w:div>
    <w:div w:id="1387297066">
      <w:bodyDiv w:val="1"/>
      <w:marLeft w:val="0"/>
      <w:marRight w:val="0"/>
      <w:marTop w:val="0"/>
      <w:marBottom w:val="0"/>
      <w:divBdr>
        <w:top w:val="none" w:sz="0" w:space="0" w:color="auto"/>
        <w:left w:val="none" w:sz="0" w:space="0" w:color="auto"/>
        <w:bottom w:val="none" w:sz="0" w:space="0" w:color="auto"/>
        <w:right w:val="none" w:sz="0" w:space="0" w:color="auto"/>
      </w:divBdr>
    </w:div>
    <w:div w:id="1392001079">
      <w:bodyDiv w:val="1"/>
      <w:marLeft w:val="0"/>
      <w:marRight w:val="0"/>
      <w:marTop w:val="0"/>
      <w:marBottom w:val="0"/>
      <w:divBdr>
        <w:top w:val="none" w:sz="0" w:space="0" w:color="auto"/>
        <w:left w:val="none" w:sz="0" w:space="0" w:color="auto"/>
        <w:bottom w:val="none" w:sz="0" w:space="0" w:color="auto"/>
        <w:right w:val="none" w:sz="0" w:space="0" w:color="auto"/>
      </w:divBdr>
    </w:div>
    <w:div w:id="1394814382">
      <w:bodyDiv w:val="1"/>
      <w:marLeft w:val="0"/>
      <w:marRight w:val="0"/>
      <w:marTop w:val="0"/>
      <w:marBottom w:val="0"/>
      <w:divBdr>
        <w:top w:val="none" w:sz="0" w:space="0" w:color="auto"/>
        <w:left w:val="none" w:sz="0" w:space="0" w:color="auto"/>
        <w:bottom w:val="none" w:sz="0" w:space="0" w:color="auto"/>
        <w:right w:val="none" w:sz="0" w:space="0" w:color="auto"/>
      </w:divBdr>
    </w:div>
    <w:div w:id="1403334390">
      <w:bodyDiv w:val="1"/>
      <w:marLeft w:val="0"/>
      <w:marRight w:val="0"/>
      <w:marTop w:val="0"/>
      <w:marBottom w:val="0"/>
      <w:divBdr>
        <w:top w:val="none" w:sz="0" w:space="0" w:color="auto"/>
        <w:left w:val="none" w:sz="0" w:space="0" w:color="auto"/>
        <w:bottom w:val="none" w:sz="0" w:space="0" w:color="auto"/>
        <w:right w:val="none" w:sz="0" w:space="0" w:color="auto"/>
      </w:divBdr>
    </w:div>
    <w:div w:id="1433357204">
      <w:bodyDiv w:val="1"/>
      <w:marLeft w:val="0"/>
      <w:marRight w:val="0"/>
      <w:marTop w:val="0"/>
      <w:marBottom w:val="0"/>
      <w:divBdr>
        <w:top w:val="none" w:sz="0" w:space="0" w:color="auto"/>
        <w:left w:val="none" w:sz="0" w:space="0" w:color="auto"/>
        <w:bottom w:val="none" w:sz="0" w:space="0" w:color="auto"/>
        <w:right w:val="none" w:sz="0" w:space="0" w:color="auto"/>
      </w:divBdr>
    </w:div>
    <w:div w:id="1450004642">
      <w:bodyDiv w:val="1"/>
      <w:marLeft w:val="0"/>
      <w:marRight w:val="0"/>
      <w:marTop w:val="0"/>
      <w:marBottom w:val="0"/>
      <w:divBdr>
        <w:top w:val="none" w:sz="0" w:space="0" w:color="auto"/>
        <w:left w:val="none" w:sz="0" w:space="0" w:color="auto"/>
        <w:bottom w:val="none" w:sz="0" w:space="0" w:color="auto"/>
        <w:right w:val="none" w:sz="0" w:space="0" w:color="auto"/>
      </w:divBdr>
    </w:div>
    <w:div w:id="1451625128">
      <w:bodyDiv w:val="1"/>
      <w:marLeft w:val="0"/>
      <w:marRight w:val="0"/>
      <w:marTop w:val="0"/>
      <w:marBottom w:val="0"/>
      <w:divBdr>
        <w:top w:val="none" w:sz="0" w:space="0" w:color="auto"/>
        <w:left w:val="none" w:sz="0" w:space="0" w:color="auto"/>
        <w:bottom w:val="none" w:sz="0" w:space="0" w:color="auto"/>
        <w:right w:val="none" w:sz="0" w:space="0" w:color="auto"/>
      </w:divBdr>
    </w:div>
    <w:div w:id="1458059599">
      <w:bodyDiv w:val="1"/>
      <w:marLeft w:val="0"/>
      <w:marRight w:val="0"/>
      <w:marTop w:val="0"/>
      <w:marBottom w:val="0"/>
      <w:divBdr>
        <w:top w:val="none" w:sz="0" w:space="0" w:color="auto"/>
        <w:left w:val="none" w:sz="0" w:space="0" w:color="auto"/>
        <w:bottom w:val="none" w:sz="0" w:space="0" w:color="auto"/>
        <w:right w:val="none" w:sz="0" w:space="0" w:color="auto"/>
      </w:divBdr>
    </w:div>
    <w:div w:id="1476139225">
      <w:bodyDiv w:val="1"/>
      <w:marLeft w:val="0"/>
      <w:marRight w:val="0"/>
      <w:marTop w:val="0"/>
      <w:marBottom w:val="0"/>
      <w:divBdr>
        <w:top w:val="none" w:sz="0" w:space="0" w:color="auto"/>
        <w:left w:val="none" w:sz="0" w:space="0" w:color="auto"/>
        <w:bottom w:val="none" w:sz="0" w:space="0" w:color="auto"/>
        <w:right w:val="none" w:sz="0" w:space="0" w:color="auto"/>
      </w:divBdr>
    </w:div>
    <w:div w:id="1481462055">
      <w:bodyDiv w:val="1"/>
      <w:marLeft w:val="0"/>
      <w:marRight w:val="0"/>
      <w:marTop w:val="0"/>
      <w:marBottom w:val="0"/>
      <w:divBdr>
        <w:top w:val="none" w:sz="0" w:space="0" w:color="auto"/>
        <w:left w:val="none" w:sz="0" w:space="0" w:color="auto"/>
        <w:bottom w:val="none" w:sz="0" w:space="0" w:color="auto"/>
        <w:right w:val="none" w:sz="0" w:space="0" w:color="auto"/>
      </w:divBdr>
    </w:div>
    <w:div w:id="1482235485">
      <w:bodyDiv w:val="1"/>
      <w:marLeft w:val="0"/>
      <w:marRight w:val="0"/>
      <w:marTop w:val="0"/>
      <w:marBottom w:val="0"/>
      <w:divBdr>
        <w:top w:val="none" w:sz="0" w:space="0" w:color="auto"/>
        <w:left w:val="none" w:sz="0" w:space="0" w:color="auto"/>
        <w:bottom w:val="none" w:sz="0" w:space="0" w:color="auto"/>
        <w:right w:val="none" w:sz="0" w:space="0" w:color="auto"/>
      </w:divBdr>
    </w:div>
    <w:div w:id="1485006296">
      <w:bodyDiv w:val="1"/>
      <w:marLeft w:val="0"/>
      <w:marRight w:val="0"/>
      <w:marTop w:val="0"/>
      <w:marBottom w:val="0"/>
      <w:divBdr>
        <w:top w:val="none" w:sz="0" w:space="0" w:color="auto"/>
        <w:left w:val="none" w:sz="0" w:space="0" w:color="auto"/>
        <w:bottom w:val="none" w:sz="0" w:space="0" w:color="auto"/>
        <w:right w:val="none" w:sz="0" w:space="0" w:color="auto"/>
      </w:divBdr>
    </w:div>
    <w:div w:id="1486431738">
      <w:bodyDiv w:val="1"/>
      <w:marLeft w:val="0"/>
      <w:marRight w:val="0"/>
      <w:marTop w:val="0"/>
      <w:marBottom w:val="0"/>
      <w:divBdr>
        <w:top w:val="none" w:sz="0" w:space="0" w:color="auto"/>
        <w:left w:val="none" w:sz="0" w:space="0" w:color="auto"/>
        <w:bottom w:val="none" w:sz="0" w:space="0" w:color="auto"/>
        <w:right w:val="none" w:sz="0" w:space="0" w:color="auto"/>
      </w:divBdr>
    </w:div>
    <w:div w:id="1490250219">
      <w:bodyDiv w:val="1"/>
      <w:marLeft w:val="0"/>
      <w:marRight w:val="0"/>
      <w:marTop w:val="0"/>
      <w:marBottom w:val="0"/>
      <w:divBdr>
        <w:top w:val="none" w:sz="0" w:space="0" w:color="auto"/>
        <w:left w:val="none" w:sz="0" w:space="0" w:color="auto"/>
        <w:bottom w:val="none" w:sz="0" w:space="0" w:color="auto"/>
        <w:right w:val="none" w:sz="0" w:space="0" w:color="auto"/>
      </w:divBdr>
    </w:div>
    <w:div w:id="1491754557">
      <w:bodyDiv w:val="1"/>
      <w:marLeft w:val="0"/>
      <w:marRight w:val="0"/>
      <w:marTop w:val="0"/>
      <w:marBottom w:val="0"/>
      <w:divBdr>
        <w:top w:val="none" w:sz="0" w:space="0" w:color="auto"/>
        <w:left w:val="none" w:sz="0" w:space="0" w:color="auto"/>
        <w:bottom w:val="none" w:sz="0" w:space="0" w:color="auto"/>
        <w:right w:val="none" w:sz="0" w:space="0" w:color="auto"/>
      </w:divBdr>
    </w:div>
    <w:div w:id="1500080001">
      <w:bodyDiv w:val="1"/>
      <w:marLeft w:val="0"/>
      <w:marRight w:val="0"/>
      <w:marTop w:val="0"/>
      <w:marBottom w:val="0"/>
      <w:divBdr>
        <w:top w:val="none" w:sz="0" w:space="0" w:color="auto"/>
        <w:left w:val="none" w:sz="0" w:space="0" w:color="auto"/>
        <w:bottom w:val="none" w:sz="0" w:space="0" w:color="auto"/>
        <w:right w:val="none" w:sz="0" w:space="0" w:color="auto"/>
      </w:divBdr>
    </w:div>
    <w:div w:id="1510490351">
      <w:bodyDiv w:val="1"/>
      <w:marLeft w:val="0"/>
      <w:marRight w:val="0"/>
      <w:marTop w:val="0"/>
      <w:marBottom w:val="0"/>
      <w:divBdr>
        <w:top w:val="none" w:sz="0" w:space="0" w:color="auto"/>
        <w:left w:val="none" w:sz="0" w:space="0" w:color="auto"/>
        <w:bottom w:val="none" w:sz="0" w:space="0" w:color="auto"/>
        <w:right w:val="none" w:sz="0" w:space="0" w:color="auto"/>
      </w:divBdr>
    </w:div>
    <w:div w:id="1527981565">
      <w:bodyDiv w:val="1"/>
      <w:marLeft w:val="0"/>
      <w:marRight w:val="0"/>
      <w:marTop w:val="0"/>
      <w:marBottom w:val="0"/>
      <w:divBdr>
        <w:top w:val="none" w:sz="0" w:space="0" w:color="auto"/>
        <w:left w:val="none" w:sz="0" w:space="0" w:color="auto"/>
        <w:bottom w:val="none" w:sz="0" w:space="0" w:color="auto"/>
        <w:right w:val="none" w:sz="0" w:space="0" w:color="auto"/>
      </w:divBdr>
    </w:div>
    <w:div w:id="1531184066">
      <w:bodyDiv w:val="1"/>
      <w:marLeft w:val="0"/>
      <w:marRight w:val="0"/>
      <w:marTop w:val="0"/>
      <w:marBottom w:val="0"/>
      <w:divBdr>
        <w:top w:val="none" w:sz="0" w:space="0" w:color="auto"/>
        <w:left w:val="none" w:sz="0" w:space="0" w:color="auto"/>
        <w:bottom w:val="none" w:sz="0" w:space="0" w:color="auto"/>
        <w:right w:val="none" w:sz="0" w:space="0" w:color="auto"/>
      </w:divBdr>
    </w:div>
    <w:div w:id="1532954440">
      <w:bodyDiv w:val="1"/>
      <w:marLeft w:val="0"/>
      <w:marRight w:val="0"/>
      <w:marTop w:val="0"/>
      <w:marBottom w:val="0"/>
      <w:divBdr>
        <w:top w:val="none" w:sz="0" w:space="0" w:color="auto"/>
        <w:left w:val="none" w:sz="0" w:space="0" w:color="auto"/>
        <w:bottom w:val="none" w:sz="0" w:space="0" w:color="auto"/>
        <w:right w:val="none" w:sz="0" w:space="0" w:color="auto"/>
      </w:divBdr>
    </w:div>
    <w:div w:id="1536848028">
      <w:bodyDiv w:val="1"/>
      <w:marLeft w:val="0"/>
      <w:marRight w:val="0"/>
      <w:marTop w:val="0"/>
      <w:marBottom w:val="0"/>
      <w:divBdr>
        <w:top w:val="none" w:sz="0" w:space="0" w:color="auto"/>
        <w:left w:val="none" w:sz="0" w:space="0" w:color="auto"/>
        <w:bottom w:val="none" w:sz="0" w:space="0" w:color="auto"/>
        <w:right w:val="none" w:sz="0" w:space="0" w:color="auto"/>
      </w:divBdr>
    </w:div>
    <w:div w:id="1565021556">
      <w:bodyDiv w:val="1"/>
      <w:marLeft w:val="0"/>
      <w:marRight w:val="0"/>
      <w:marTop w:val="0"/>
      <w:marBottom w:val="0"/>
      <w:divBdr>
        <w:top w:val="none" w:sz="0" w:space="0" w:color="auto"/>
        <w:left w:val="none" w:sz="0" w:space="0" w:color="auto"/>
        <w:bottom w:val="none" w:sz="0" w:space="0" w:color="auto"/>
        <w:right w:val="none" w:sz="0" w:space="0" w:color="auto"/>
      </w:divBdr>
    </w:div>
    <w:div w:id="1567378526">
      <w:bodyDiv w:val="1"/>
      <w:marLeft w:val="0"/>
      <w:marRight w:val="0"/>
      <w:marTop w:val="0"/>
      <w:marBottom w:val="0"/>
      <w:divBdr>
        <w:top w:val="none" w:sz="0" w:space="0" w:color="auto"/>
        <w:left w:val="none" w:sz="0" w:space="0" w:color="auto"/>
        <w:bottom w:val="none" w:sz="0" w:space="0" w:color="auto"/>
        <w:right w:val="none" w:sz="0" w:space="0" w:color="auto"/>
      </w:divBdr>
    </w:div>
    <w:div w:id="1584947230">
      <w:bodyDiv w:val="1"/>
      <w:marLeft w:val="0"/>
      <w:marRight w:val="0"/>
      <w:marTop w:val="0"/>
      <w:marBottom w:val="0"/>
      <w:divBdr>
        <w:top w:val="none" w:sz="0" w:space="0" w:color="auto"/>
        <w:left w:val="none" w:sz="0" w:space="0" w:color="auto"/>
        <w:bottom w:val="none" w:sz="0" w:space="0" w:color="auto"/>
        <w:right w:val="none" w:sz="0" w:space="0" w:color="auto"/>
      </w:divBdr>
    </w:div>
    <w:div w:id="1589650992">
      <w:bodyDiv w:val="1"/>
      <w:marLeft w:val="0"/>
      <w:marRight w:val="0"/>
      <w:marTop w:val="0"/>
      <w:marBottom w:val="0"/>
      <w:divBdr>
        <w:top w:val="none" w:sz="0" w:space="0" w:color="auto"/>
        <w:left w:val="none" w:sz="0" w:space="0" w:color="auto"/>
        <w:bottom w:val="none" w:sz="0" w:space="0" w:color="auto"/>
        <w:right w:val="none" w:sz="0" w:space="0" w:color="auto"/>
      </w:divBdr>
    </w:div>
    <w:div w:id="1600916374">
      <w:bodyDiv w:val="1"/>
      <w:marLeft w:val="0"/>
      <w:marRight w:val="0"/>
      <w:marTop w:val="0"/>
      <w:marBottom w:val="0"/>
      <w:divBdr>
        <w:top w:val="none" w:sz="0" w:space="0" w:color="auto"/>
        <w:left w:val="none" w:sz="0" w:space="0" w:color="auto"/>
        <w:bottom w:val="none" w:sz="0" w:space="0" w:color="auto"/>
        <w:right w:val="none" w:sz="0" w:space="0" w:color="auto"/>
      </w:divBdr>
      <w:divsChild>
        <w:div w:id="2027830245">
          <w:marLeft w:val="547"/>
          <w:marRight w:val="0"/>
          <w:marTop w:val="0"/>
          <w:marBottom w:val="0"/>
          <w:divBdr>
            <w:top w:val="none" w:sz="0" w:space="0" w:color="auto"/>
            <w:left w:val="none" w:sz="0" w:space="0" w:color="auto"/>
            <w:bottom w:val="none" w:sz="0" w:space="0" w:color="auto"/>
            <w:right w:val="none" w:sz="0" w:space="0" w:color="auto"/>
          </w:divBdr>
        </w:div>
      </w:divsChild>
    </w:div>
    <w:div w:id="1601138447">
      <w:bodyDiv w:val="1"/>
      <w:marLeft w:val="0"/>
      <w:marRight w:val="0"/>
      <w:marTop w:val="0"/>
      <w:marBottom w:val="0"/>
      <w:divBdr>
        <w:top w:val="none" w:sz="0" w:space="0" w:color="auto"/>
        <w:left w:val="none" w:sz="0" w:space="0" w:color="auto"/>
        <w:bottom w:val="none" w:sz="0" w:space="0" w:color="auto"/>
        <w:right w:val="none" w:sz="0" w:space="0" w:color="auto"/>
      </w:divBdr>
    </w:div>
    <w:div w:id="1604191521">
      <w:bodyDiv w:val="1"/>
      <w:marLeft w:val="0"/>
      <w:marRight w:val="0"/>
      <w:marTop w:val="0"/>
      <w:marBottom w:val="0"/>
      <w:divBdr>
        <w:top w:val="none" w:sz="0" w:space="0" w:color="auto"/>
        <w:left w:val="none" w:sz="0" w:space="0" w:color="auto"/>
        <w:bottom w:val="none" w:sz="0" w:space="0" w:color="auto"/>
        <w:right w:val="none" w:sz="0" w:space="0" w:color="auto"/>
      </w:divBdr>
    </w:div>
    <w:div w:id="1617329780">
      <w:bodyDiv w:val="1"/>
      <w:marLeft w:val="0"/>
      <w:marRight w:val="0"/>
      <w:marTop w:val="0"/>
      <w:marBottom w:val="0"/>
      <w:divBdr>
        <w:top w:val="none" w:sz="0" w:space="0" w:color="auto"/>
        <w:left w:val="none" w:sz="0" w:space="0" w:color="auto"/>
        <w:bottom w:val="none" w:sz="0" w:space="0" w:color="auto"/>
        <w:right w:val="none" w:sz="0" w:space="0" w:color="auto"/>
      </w:divBdr>
    </w:div>
    <w:div w:id="1625235134">
      <w:bodyDiv w:val="1"/>
      <w:marLeft w:val="0"/>
      <w:marRight w:val="0"/>
      <w:marTop w:val="0"/>
      <w:marBottom w:val="0"/>
      <w:divBdr>
        <w:top w:val="none" w:sz="0" w:space="0" w:color="auto"/>
        <w:left w:val="none" w:sz="0" w:space="0" w:color="auto"/>
        <w:bottom w:val="none" w:sz="0" w:space="0" w:color="auto"/>
        <w:right w:val="none" w:sz="0" w:space="0" w:color="auto"/>
      </w:divBdr>
    </w:div>
    <w:div w:id="1627421616">
      <w:bodyDiv w:val="1"/>
      <w:marLeft w:val="0"/>
      <w:marRight w:val="0"/>
      <w:marTop w:val="0"/>
      <w:marBottom w:val="0"/>
      <w:divBdr>
        <w:top w:val="none" w:sz="0" w:space="0" w:color="auto"/>
        <w:left w:val="none" w:sz="0" w:space="0" w:color="auto"/>
        <w:bottom w:val="none" w:sz="0" w:space="0" w:color="auto"/>
        <w:right w:val="none" w:sz="0" w:space="0" w:color="auto"/>
      </w:divBdr>
    </w:div>
    <w:div w:id="1634553570">
      <w:bodyDiv w:val="1"/>
      <w:marLeft w:val="0"/>
      <w:marRight w:val="0"/>
      <w:marTop w:val="0"/>
      <w:marBottom w:val="0"/>
      <w:divBdr>
        <w:top w:val="none" w:sz="0" w:space="0" w:color="auto"/>
        <w:left w:val="none" w:sz="0" w:space="0" w:color="auto"/>
        <w:bottom w:val="none" w:sz="0" w:space="0" w:color="auto"/>
        <w:right w:val="none" w:sz="0" w:space="0" w:color="auto"/>
      </w:divBdr>
    </w:div>
    <w:div w:id="1637178214">
      <w:bodyDiv w:val="1"/>
      <w:marLeft w:val="0"/>
      <w:marRight w:val="0"/>
      <w:marTop w:val="0"/>
      <w:marBottom w:val="0"/>
      <w:divBdr>
        <w:top w:val="none" w:sz="0" w:space="0" w:color="auto"/>
        <w:left w:val="none" w:sz="0" w:space="0" w:color="auto"/>
        <w:bottom w:val="none" w:sz="0" w:space="0" w:color="auto"/>
        <w:right w:val="none" w:sz="0" w:space="0" w:color="auto"/>
      </w:divBdr>
    </w:div>
    <w:div w:id="1659921150">
      <w:bodyDiv w:val="1"/>
      <w:marLeft w:val="0"/>
      <w:marRight w:val="0"/>
      <w:marTop w:val="0"/>
      <w:marBottom w:val="0"/>
      <w:divBdr>
        <w:top w:val="none" w:sz="0" w:space="0" w:color="auto"/>
        <w:left w:val="none" w:sz="0" w:space="0" w:color="auto"/>
        <w:bottom w:val="none" w:sz="0" w:space="0" w:color="auto"/>
        <w:right w:val="none" w:sz="0" w:space="0" w:color="auto"/>
      </w:divBdr>
    </w:div>
    <w:div w:id="1673217727">
      <w:bodyDiv w:val="1"/>
      <w:marLeft w:val="0"/>
      <w:marRight w:val="0"/>
      <w:marTop w:val="0"/>
      <w:marBottom w:val="0"/>
      <w:divBdr>
        <w:top w:val="none" w:sz="0" w:space="0" w:color="auto"/>
        <w:left w:val="none" w:sz="0" w:space="0" w:color="auto"/>
        <w:bottom w:val="none" w:sz="0" w:space="0" w:color="auto"/>
        <w:right w:val="none" w:sz="0" w:space="0" w:color="auto"/>
      </w:divBdr>
    </w:div>
    <w:div w:id="1674409379">
      <w:bodyDiv w:val="1"/>
      <w:marLeft w:val="0"/>
      <w:marRight w:val="0"/>
      <w:marTop w:val="0"/>
      <w:marBottom w:val="0"/>
      <w:divBdr>
        <w:top w:val="none" w:sz="0" w:space="0" w:color="auto"/>
        <w:left w:val="none" w:sz="0" w:space="0" w:color="auto"/>
        <w:bottom w:val="none" w:sz="0" w:space="0" w:color="auto"/>
        <w:right w:val="none" w:sz="0" w:space="0" w:color="auto"/>
      </w:divBdr>
    </w:div>
    <w:div w:id="1676032795">
      <w:bodyDiv w:val="1"/>
      <w:marLeft w:val="0"/>
      <w:marRight w:val="0"/>
      <w:marTop w:val="0"/>
      <w:marBottom w:val="0"/>
      <w:divBdr>
        <w:top w:val="none" w:sz="0" w:space="0" w:color="auto"/>
        <w:left w:val="none" w:sz="0" w:space="0" w:color="auto"/>
        <w:bottom w:val="none" w:sz="0" w:space="0" w:color="auto"/>
        <w:right w:val="none" w:sz="0" w:space="0" w:color="auto"/>
      </w:divBdr>
    </w:div>
    <w:div w:id="1689867570">
      <w:bodyDiv w:val="1"/>
      <w:marLeft w:val="0"/>
      <w:marRight w:val="0"/>
      <w:marTop w:val="0"/>
      <w:marBottom w:val="0"/>
      <w:divBdr>
        <w:top w:val="none" w:sz="0" w:space="0" w:color="auto"/>
        <w:left w:val="none" w:sz="0" w:space="0" w:color="auto"/>
        <w:bottom w:val="none" w:sz="0" w:space="0" w:color="auto"/>
        <w:right w:val="none" w:sz="0" w:space="0" w:color="auto"/>
      </w:divBdr>
    </w:div>
    <w:div w:id="1697081089">
      <w:bodyDiv w:val="1"/>
      <w:marLeft w:val="0"/>
      <w:marRight w:val="0"/>
      <w:marTop w:val="0"/>
      <w:marBottom w:val="0"/>
      <w:divBdr>
        <w:top w:val="none" w:sz="0" w:space="0" w:color="auto"/>
        <w:left w:val="none" w:sz="0" w:space="0" w:color="auto"/>
        <w:bottom w:val="none" w:sz="0" w:space="0" w:color="auto"/>
        <w:right w:val="none" w:sz="0" w:space="0" w:color="auto"/>
      </w:divBdr>
    </w:div>
    <w:div w:id="1699155721">
      <w:bodyDiv w:val="1"/>
      <w:marLeft w:val="0"/>
      <w:marRight w:val="0"/>
      <w:marTop w:val="0"/>
      <w:marBottom w:val="0"/>
      <w:divBdr>
        <w:top w:val="none" w:sz="0" w:space="0" w:color="auto"/>
        <w:left w:val="none" w:sz="0" w:space="0" w:color="auto"/>
        <w:bottom w:val="none" w:sz="0" w:space="0" w:color="auto"/>
        <w:right w:val="none" w:sz="0" w:space="0" w:color="auto"/>
      </w:divBdr>
      <w:divsChild>
        <w:div w:id="493570346">
          <w:marLeft w:val="547"/>
          <w:marRight w:val="0"/>
          <w:marTop w:val="0"/>
          <w:marBottom w:val="0"/>
          <w:divBdr>
            <w:top w:val="none" w:sz="0" w:space="0" w:color="auto"/>
            <w:left w:val="none" w:sz="0" w:space="0" w:color="auto"/>
            <w:bottom w:val="none" w:sz="0" w:space="0" w:color="auto"/>
            <w:right w:val="none" w:sz="0" w:space="0" w:color="auto"/>
          </w:divBdr>
        </w:div>
      </w:divsChild>
    </w:div>
    <w:div w:id="1713267462">
      <w:bodyDiv w:val="1"/>
      <w:marLeft w:val="0"/>
      <w:marRight w:val="0"/>
      <w:marTop w:val="0"/>
      <w:marBottom w:val="0"/>
      <w:divBdr>
        <w:top w:val="none" w:sz="0" w:space="0" w:color="auto"/>
        <w:left w:val="none" w:sz="0" w:space="0" w:color="auto"/>
        <w:bottom w:val="none" w:sz="0" w:space="0" w:color="auto"/>
        <w:right w:val="none" w:sz="0" w:space="0" w:color="auto"/>
      </w:divBdr>
    </w:div>
    <w:div w:id="1732461621">
      <w:bodyDiv w:val="1"/>
      <w:marLeft w:val="0"/>
      <w:marRight w:val="0"/>
      <w:marTop w:val="0"/>
      <w:marBottom w:val="0"/>
      <w:divBdr>
        <w:top w:val="none" w:sz="0" w:space="0" w:color="auto"/>
        <w:left w:val="none" w:sz="0" w:space="0" w:color="auto"/>
        <w:bottom w:val="none" w:sz="0" w:space="0" w:color="auto"/>
        <w:right w:val="none" w:sz="0" w:space="0" w:color="auto"/>
      </w:divBdr>
    </w:div>
    <w:div w:id="1742632056">
      <w:bodyDiv w:val="1"/>
      <w:marLeft w:val="0"/>
      <w:marRight w:val="0"/>
      <w:marTop w:val="0"/>
      <w:marBottom w:val="0"/>
      <w:divBdr>
        <w:top w:val="none" w:sz="0" w:space="0" w:color="auto"/>
        <w:left w:val="none" w:sz="0" w:space="0" w:color="auto"/>
        <w:bottom w:val="none" w:sz="0" w:space="0" w:color="auto"/>
        <w:right w:val="none" w:sz="0" w:space="0" w:color="auto"/>
      </w:divBdr>
    </w:div>
    <w:div w:id="1744907696">
      <w:bodyDiv w:val="1"/>
      <w:marLeft w:val="0"/>
      <w:marRight w:val="0"/>
      <w:marTop w:val="0"/>
      <w:marBottom w:val="0"/>
      <w:divBdr>
        <w:top w:val="none" w:sz="0" w:space="0" w:color="auto"/>
        <w:left w:val="none" w:sz="0" w:space="0" w:color="auto"/>
        <w:bottom w:val="none" w:sz="0" w:space="0" w:color="auto"/>
        <w:right w:val="none" w:sz="0" w:space="0" w:color="auto"/>
      </w:divBdr>
    </w:div>
    <w:div w:id="1750887621">
      <w:bodyDiv w:val="1"/>
      <w:marLeft w:val="0"/>
      <w:marRight w:val="0"/>
      <w:marTop w:val="0"/>
      <w:marBottom w:val="0"/>
      <w:divBdr>
        <w:top w:val="none" w:sz="0" w:space="0" w:color="auto"/>
        <w:left w:val="none" w:sz="0" w:space="0" w:color="auto"/>
        <w:bottom w:val="none" w:sz="0" w:space="0" w:color="auto"/>
        <w:right w:val="none" w:sz="0" w:space="0" w:color="auto"/>
      </w:divBdr>
    </w:div>
    <w:div w:id="1765564972">
      <w:bodyDiv w:val="1"/>
      <w:marLeft w:val="0"/>
      <w:marRight w:val="0"/>
      <w:marTop w:val="0"/>
      <w:marBottom w:val="0"/>
      <w:divBdr>
        <w:top w:val="none" w:sz="0" w:space="0" w:color="auto"/>
        <w:left w:val="none" w:sz="0" w:space="0" w:color="auto"/>
        <w:bottom w:val="none" w:sz="0" w:space="0" w:color="auto"/>
        <w:right w:val="none" w:sz="0" w:space="0" w:color="auto"/>
      </w:divBdr>
    </w:div>
    <w:div w:id="1769424737">
      <w:bodyDiv w:val="1"/>
      <w:marLeft w:val="0"/>
      <w:marRight w:val="0"/>
      <w:marTop w:val="0"/>
      <w:marBottom w:val="0"/>
      <w:divBdr>
        <w:top w:val="none" w:sz="0" w:space="0" w:color="auto"/>
        <w:left w:val="none" w:sz="0" w:space="0" w:color="auto"/>
        <w:bottom w:val="none" w:sz="0" w:space="0" w:color="auto"/>
        <w:right w:val="none" w:sz="0" w:space="0" w:color="auto"/>
      </w:divBdr>
    </w:div>
    <w:div w:id="1776243488">
      <w:bodyDiv w:val="1"/>
      <w:marLeft w:val="0"/>
      <w:marRight w:val="0"/>
      <w:marTop w:val="0"/>
      <w:marBottom w:val="0"/>
      <w:divBdr>
        <w:top w:val="none" w:sz="0" w:space="0" w:color="auto"/>
        <w:left w:val="none" w:sz="0" w:space="0" w:color="auto"/>
        <w:bottom w:val="none" w:sz="0" w:space="0" w:color="auto"/>
        <w:right w:val="none" w:sz="0" w:space="0" w:color="auto"/>
      </w:divBdr>
    </w:div>
    <w:div w:id="1779907985">
      <w:bodyDiv w:val="1"/>
      <w:marLeft w:val="0"/>
      <w:marRight w:val="0"/>
      <w:marTop w:val="0"/>
      <w:marBottom w:val="0"/>
      <w:divBdr>
        <w:top w:val="none" w:sz="0" w:space="0" w:color="auto"/>
        <w:left w:val="none" w:sz="0" w:space="0" w:color="auto"/>
        <w:bottom w:val="none" w:sz="0" w:space="0" w:color="auto"/>
        <w:right w:val="none" w:sz="0" w:space="0" w:color="auto"/>
      </w:divBdr>
    </w:div>
    <w:div w:id="1814177630">
      <w:bodyDiv w:val="1"/>
      <w:marLeft w:val="0"/>
      <w:marRight w:val="0"/>
      <w:marTop w:val="0"/>
      <w:marBottom w:val="0"/>
      <w:divBdr>
        <w:top w:val="none" w:sz="0" w:space="0" w:color="auto"/>
        <w:left w:val="none" w:sz="0" w:space="0" w:color="auto"/>
        <w:bottom w:val="none" w:sz="0" w:space="0" w:color="auto"/>
        <w:right w:val="none" w:sz="0" w:space="0" w:color="auto"/>
      </w:divBdr>
    </w:div>
    <w:div w:id="1825395574">
      <w:bodyDiv w:val="1"/>
      <w:marLeft w:val="0"/>
      <w:marRight w:val="0"/>
      <w:marTop w:val="0"/>
      <w:marBottom w:val="0"/>
      <w:divBdr>
        <w:top w:val="none" w:sz="0" w:space="0" w:color="auto"/>
        <w:left w:val="none" w:sz="0" w:space="0" w:color="auto"/>
        <w:bottom w:val="none" w:sz="0" w:space="0" w:color="auto"/>
        <w:right w:val="none" w:sz="0" w:space="0" w:color="auto"/>
      </w:divBdr>
    </w:div>
    <w:div w:id="1837383876">
      <w:bodyDiv w:val="1"/>
      <w:marLeft w:val="0"/>
      <w:marRight w:val="0"/>
      <w:marTop w:val="0"/>
      <w:marBottom w:val="0"/>
      <w:divBdr>
        <w:top w:val="none" w:sz="0" w:space="0" w:color="auto"/>
        <w:left w:val="none" w:sz="0" w:space="0" w:color="auto"/>
        <w:bottom w:val="none" w:sz="0" w:space="0" w:color="auto"/>
        <w:right w:val="none" w:sz="0" w:space="0" w:color="auto"/>
      </w:divBdr>
    </w:div>
    <w:div w:id="1842624940">
      <w:bodyDiv w:val="1"/>
      <w:marLeft w:val="0"/>
      <w:marRight w:val="0"/>
      <w:marTop w:val="0"/>
      <w:marBottom w:val="0"/>
      <w:divBdr>
        <w:top w:val="none" w:sz="0" w:space="0" w:color="auto"/>
        <w:left w:val="none" w:sz="0" w:space="0" w:color="auto"/>
        <w:bottom w:val="none" w:sz="0" w:space="0" w:color="auto"/>
        <w:right w:val="none" w:sz="0" w:space="0" w:color="auto"/>
      </w:divBdr>
    </w:div>
    <w:div w:id="1850635157">
      <w:bodyDiv w:val="1"/>
      <w:marLeft w:val="0"/>
      <w:marRight w:val="0"/>
      <w:marTop w:val="0"/>
      <w:marBottom w:val="0"/>
      <w:divBdr>
        <w:top w:val="none" w:sz="0" w:space="0" w:color="auto"/>
        <w:left w:val="none" w:sz="0" w:space="0" w:color="auto"/>
        <w:bottom w:val="none" w:sz="0" w:space="0" w:color="auto"/>
        <w:right w:val="none" w:sz="0" w:space="0" w:color="auto"/>
      </w:divBdr>
    </w:div>
    <w:div w:id="1892033939">
      <w:bodyDiv w:val="1"/>
      <w:marLeft w:val="0"/>
      <w:marRight w:val="0"/>
      <w:marTop w:val="0"/>
      <w:marBottom w:val="0"/>
      <w:divBdr>
        <w:top w:val="none" w:sz="0" w:space="0" w:color="auto"/>
        <w:left w:val="none" w:sz="0" w:space="0" w:color="auto"/>
        <w:bottom w:val="none" w:sz="0" w:space="0" w:color="auto"/>
        <w:right w:val="none" w:sz="0" w:space="0" w:color="auto"/>
      </w:divBdr>
    </w:div>
    <w:div w:id="1893343886">
      <w:bodyDiv w:val="1"/>
      <w:marLeft w:val="0"/>
      <w:marRight w:val="0"/>
      <w:marTop w:val="0"/>
      <w:marBottom w:val="0"/>
      <w:divBdr>
        <w:top w:val="none" w:sz="0" w:space="0" w:color="auto"/>
        <w:left w:val="none" w:sz="0" w:space="0" w:color="auto"/>
        <w:bottom w:val="none" w:sz="0" w:space="0" w:color="auto"/>
        <w:right w:val="none" w:sz="0" w:space="0" w:color="auto"/>
      </w:divBdr>
    </w:div>
    <w:div w:id="1911693969">
      <w:bodyDiv w:val="1"/>
      <w:marLeft w:val="0"/>
      <w:marRight w:val="0"/>
      <w:marTop w:val="0"/>
      <w:marBottom w:val="0"/>
      <w:divBdr>
        <w:top w:val="none" w:sz="0" w:space="0" w:color="auto"/>
        <w:left w:val="none" w:sz="0" w:space="0" w:color="auto"/>
        <w:bottom w:val="none" w:sz="0" w:space="0" w:color="auto"/>
        <w:right w:val="none" w:sz="0" w:space="0" w:color="auto"/>
      </w:divBdr>
    </w:div>
    <w:div w:id="1914586271">
      <w:bodyDiv w:val="1"/>
      <w:marLeft w:val="0"/>
      <w:marRight w:val="0"/>
      <w:marTop w:val="0"/>
      <w:marBottom w:val="0"/>
      <w:divBdr>
        <w:top w:val="none" w:sz="0" w:space="0" w:color="auto"/>
        <w:left w:val="none" w:sz="0" w:space="0" w:color="auto"/>
        <w:bottom w:val="none" w:sz="0" w:space="0" w:color="auto"/>
        <w:right w:val="none" w:sz="0" w:space="0" w:color="auto"/>
      </w:divBdr>
    </w:div>
    <w:div w:id="1950239971">
      <w:bodyDiv w:val="1"/>
      <w:marLeft w:val="0"/>
      <w:marRight w:val="0"/>
      <w:marTop w:val="0"/>
      <w:marBottom w:val="0"/>
      <w:divBdr>
        <w:top w:val="none" w:sz="0" w:space="0" w:color="auto"/>
        <w:left w:val="none" w:sz="0" w:space="0" w:color="auto"/>
        <w:bottom w:val="none" w:sz="0" w:space="0" w:color="auto"/>
        <w:right w:val="none" w:sz="0" w:space="0" w:color="auto"/>
      </w:divBdr>
    </w:div>
    <w:div w:id="1960525192">
      <w:bodyDiv w:val="1"/>
      <w:marLeft w:val="0"/>
      <w:marRight w:val="0"/>
      <w:marTop w:val="0"/>
      <w:marBottom w:val="0"/>
      <w:divBdr>
        <w:top w:val="none" w:sz="0" w:space="0" w:color="auto"/>
        <w:left w:val="none" w:sz="0" w:space="0" w:color="auto"/>
        <w:bottom w:val="none" w:sz="0" w:space="0" w:color="auto"/>
        <w:right w:val="none" w:sz="0" w:space="0" w:color="auto"/>
      </w:divBdr>
    </w:div>
    <w:div w:id="1966934137">
      <w:bodyDiv w:val="1"/>
      <w:marLeft w:val="0"/>
      <w:marRight w:val="0"/>
      <w:marTop w:val="0"/>
      <w:marBottom w:val="0"/>
      <w:divBdr>
        <w:top w:val="none" w:sz="0" w:space="0" w:color="auto"/>
        <w:left w:val="none" w:sz="0" w:space="0" w:color="auto"/>
        <w:bottom w:val="none" w:sz="0" w:space="0" w:color="auto"/>
        <w:right w:val="none" w:sz="0" w:space="0" w:color="auto"/>
      </w:divBdr>
    </w:div>
    <w:div w:id="1969432598">
      <w:bodyDiv w:val="1"/>
      <w:marLeft w:val="0"/>
      <w:marRight w:val="0"/>
      <w:marTop w:val="0"/>
      <w:marBottom w:val="0"/>
      <w:divBdr>
        <w:top w:val="none" w:sz="0" w:space="0" w:color="auto"/>
        <w:left w:val="none" w:sz="0" w:space="0" w:color="auto"/>
        <w:bottom w:val="none" w:sz="0" w:space="0" w:color="auto"/>
        <w:right w:val="none" w:sz="0" w:space="0" w:color="auto"/>
      </w:divBdr>
    </w:div>
    <w:div w:id="1974484234">
      <w:bodyDiv w:val="1"/>
      <w:marLeft w:val="0"/>
      <w:marRight w:val="0"/>
      <w:marTop w:val="0"/>
      <w:marBottom w:val="0"/>
      <w:divBdr>
        <w:top w:val="none" w:sz="0" w:space="0" w:color="auto"/>
        <w:left w:val="none" w:sz="0" w:space="0" w:color="auto"/>
        <w:bottom w:val="none" w:sz="0" w:space="0" w:color="auto"/>
        <w:right w:val="none" w:sz="0" w:space="0" w:color="auto"/>
      </w:divBdr>
    </w:div>
    <w:div w:id="1986548578">
      <w:bodyDiv w:val="1"/>
      <w:marLeft w:val="0"/>
      <w:marRight w:val="0"/>
      <w:marTop w:val="0"/>
      <w:marBottom w:val="0"/>
      <w:divBdr>
        <w:top w:val="none" w:sz="0" w:space="0" w:color="auto"/>
        <w:left w:val="none" w:sz="0" w:space="0" w:color="auto"/>
        <w:bottom w:val="none" w:sz="0" w:space="0" w:color="auto"/>
        <w:right w:val="none" w:sz="0" w:space="0" w:color="auto"/>
      </w:divBdr>
    </w:div>
    <w:div w:id="2007246918">
      <w:bodyDiv w:val="1"/>
      <w:marLeft w:val="0"/>
      <w:marRight w:val="0"/>
      <w:marTop w:val="0"/>
      <w:marBottom w:val="0"/>
      <w:divBdr>
        <w:top w:val="none" w:sz="0" w:space="0" w:color="auto"/>
        <w:left w:val="none" w:sz="0" w:space="0" w:color="auto"/>
        <w:bottom w:val="none" w:sz="0" w:space="0" w:color="auto"/>
        <w:right w:val="none" w:sz="0" w:space="0" w:color="auto"/>
      </w:divBdr>
    </w:div>
    <w:div w:id="2026399979">
      <w:bodyDiv w:val="1"/>
      <w:marLeft w:val="0"/>
      <w:marRight w:val="0"/>
      <w:marTop w:val="0"/>
      <w:marBottom w:val="0"/>
      <w:divBdr>
        <w:top w:val="none" w:sz="0" w:space="0" w:color="auto"/>
        <w:left w:val="none" w:sz="0" w:space="0" w:color="auto"/>
        <w:bottom w:val="none" w:sz="0" w:space="0" w:color="auto"/>
        <w:right w:val="none" w:sz="0" w:space="0" w:color="auto"/>
      </w:divBdr>
    </w:div>
    <w:div w:id="2035155503">
      <w:bodyDiv w:val="1"/>
      <w:marLeft w:val="0"/>
      <w:marRight w:val="0"/>
      <w:marTop w:val="0"/>
      <w:marBottom w:val="0"/>
      <w:divBdr>
        <w:top w:val="none" w:sz="0" w:space="0" w:color="auto"/>
        <w:left w:val="none" w:sz="0" w:space="0" w:color="auto"/>
        <w:bottom w:val="none" w:sz="0" w:space="0" w:color="auto"/>
        <w:right w:val="none" w:sz="0" w:space="0" w:color="auto"/>
      </w:divBdr>
    </w:div>
    <w:div w:id="2041323160">
      <w:bodyDiv w:val="1"/>
      <w:marLeft w:val="0"/>
      <w:marRight w:val="0"/>
      <w:marTop w:val="0"/>
      <w:marBottom w:val="0"/>
      <w:divBdr>
        <w:top w:val="none" w:sz="0" w:space="0" w:color="auto"/>
        <w:left w:val="none" w:sz="0" w:space="0" w:color="auto"/>
        <w:bottom w:val="none" w:sz="0" w:space="0" w:color="auto"/>
        <w:right w:val="none" w:sz="0" w:space="0" w:color="auto"/>
      </w:divBdr>
    </w:div>
    <w:div w:id="2042439133">
      <w:bodyDiv w:val="1"/>
      <w:marLeft w:val="0"/>
      <w:marRight w:val="0"/>
      <w:marTop w:val="0"/>
      <w:marBottom w:val="0"/>
      <w:divBdr>
        <w:top w:val="none" w:sz="0" w:space="0" w:color="auto"/>
        <w:left w:val="none" w:sz="0" w:space="0" w:color="auto"/>
        <w:bottom w:val="none" w:sz="0" w:space="0" w:color="auto"/>
        <w:right w:val="none" w:sz="0" w:space="0" w:color="auto"/>
      </w:divBdr>
    </w:div>
    <w:div w:id="2045323910">
      <w:bodyDiv w:val="1"/>
      <w:marLeft w:val="0"/>
      <w:marRight w:val="0"/>
      <w:marTop w:val="0"/>
      <w:marBottom w:val="0"/>
      <w:divBdr>
        <w:top w:val="none" w:sz="0" w:space="0" w:color="auto"/>
        <w:left w:val="none" w:sz="0" w:space="0" w:color="auto"/>
        <w:bottom w:val="none" w:sz="0" w:space="0" w:color="auto"/>
        <w:right w:val="none" w:sz="0" w:space="0" w:color="auto"/>
      </w:divBdr>
    </w:div>
    <w:div w:id="2045979695">
      <w:bodyDiv w:val="1"/>
      <w:marLeft w:val="0"/>
      <w:marRight w:val="0"/>
      <w:marTop w:val="0"/>
      <w:marBottom w:val="0"/>
      <w:divBdr>
        <w:top w:val="none" w:sz="0" w:space="0" w:color="auto"/>
        <w:left w:val="none" w:sz="0" w:space="0" w:color="auto"/>
        <w:bottom w:val="none" w:sz="0" w:space="0" w:color="auto"/>
        <w:right w:val="none" w:sz="0" w:space="0" w:color="auto"/>
      </w:divBdr>
    </w:div>
    <w:div w:id="2047748969">
      <w:bodyDiv w:val="1"/>
      <w:marLeft w:val="0"/>
      <w:marRight w:val="0"/>
      <w:marTop w:val="0"/>
      <w:marBottom w:val="0"/>
      <w:divBdr>
        <w:top w:val="none" w:sz="0" w:space="0" w:color="auto"/>
        <w:left w:val="none" w:sz="0" w:space="0" w:color="auto"/>
        <w:bottom w:val="none" w:sz="0" w:space="0" w:color="auto"/>
        <w:right w:val="none" w:sz="0" w:space="0" w:color="auto"/>
      </w:divBdr>
    </w:div>
    <w:div w:id="2053264719">
      <w:bodyDiv w:val="1"/>
      <w:marLeft w:val="0"/>
      <w:marRight w:val="0"/>
      <w:marTop w:val="0"/>
      <w:marBottom w:val="0"/>
      <w:divBdr>
        <w:top w:val="none" w:sz="0" w:space="0" w:color="auto"/>
        <w:left w:val="none" w:sz="0" w:space="0" w:color="auto"/>
        <w:bottom w:val="none" w:sz="0" w:space="0" w:color="auto"/>
        <w:right w:val="none" w:sz="0" w:space="0" w:color="auto"/>
      </w:divBdr>
      <w:divsChild>
        <w:div w:id="1463957480">
          <w:marLeft w:val="547"/>
          <w:marRight w:val="0"/>
          <w:marTop w:val="0"/>
          <w:marBottom w:val="0"/>
          <w:divBdr>
            <w:top w:val="none" w:sz="0" w:space="0" w:color="auto"/>
            <w:left w:val="none" w:sz="0" w:space="0" w:color="auto"/>
            <w:bottom w:val="none" w:sz="0" w:space="0" w:color="auto"/>
            <w:right w:val="none" w:sz="0" w:space="0" w:color="auto"/>
          </w:divBdr>
        </w:div>
        <w:div w:id="1669093048">
          <w:marLeft w:val="547"/>
          <w:marRight w:val="0"/>
          <w:marTop w:val="0"/>
          <w:marBottom w:val="0"/>
          <w:divBdr>
            <w:top w:val="none" w:sz="0" w:space="0" w:color="auto"/>
            <w:left w:val="none" w:sz="0" w:space="0" w:color="auto"/>
            <w:bottom w:val="none" w:sz="0" w:space="0" w:color="auto"/>
            <w:right w:val="none" w:sz="0" w:space="0" w:color="auto"/>
          </w:divBdr>
        </w:div>
        <w:div w:id="2022195661">
          <w:marLeft w:val="547"/>
          <w:marRight w:val="0"/>
          <w:marTop w:val="0"/>
          <w:marBottom w:val="0"/>
          <w:divBdr>
            <w:top w:val="none" w:sz="0" w:space="0" w:color="auto"/>
            <w:left w:val="none" w:sz="0" w:space="0" w:color="auto"/>
            <w:bottom w:val="none" w:sz="0" w:space="0" w:color="auto"/>
            <w:right w:val="none" w:sz="0" w:space="0" w:color="auto"/>
          </w:divBdr>
        </w:div>
      </w:divsChild>
    </w:div>
    <w:div w:id="2053651937">
      <w:bodyDiv w:val="1"/>
      <w:marLeft w:val="0"/>
      <w:marRight w:val="0"/>
      <w:marTop w:val="0"/>
      <w:marBottom w:val="0"/>
      <w:divBdr>
        <w:top w:val="none" w:sz="0" w:space="0" w:color="auto"/>
        <w:left w:val="none" w:sz="0" w:space="0" w:color="auto"/>
        <w:bottom w:val="none" w:sz="0" w:space="0" w:color="auto"/>
        <w:right w:val="none" w:sz="0" w:space="0" w:color="auto"/>
      </w:divBdr>
    </w:div>
    <w:div w:id="2061784193">
      <w:bodyDiv w:val="1"/>
      <w:marLeft w:val="0"/>
      <w:marRight w:val="0"/>
      <w:marTop w:val="0"/>
      <w:marBottom w:val="0"/>
      <w:divBdr>
        <w:top w:val="none" w:sz="0" w:space="0" w:color="auto"/>
        <w:left w:val="none" w:sz="0" w:space="0" w:color="auto"/>
        <w:bottom w:val="none" w:sz="0" w:space="0" w:color="auto"/>
        <w:right w:val="none" w:sz="0" w:space="0" w:color="auto"/>
      </w:divBdr>
    </w:div>
    <w:div w:id="2076076669">
      <w:bodyDiv w:val="1"/>
      <w:marLeft w:val="0"/>
      <w:marRight w:val="0"/>
      <w:marTop w:val="0"/>
      <w:marBottom w:val="0"/>
      <w:divBdr>
        <w:top w:val="none" w:sz="0" w:space="0" w:color="auto"/>
        <w:left w:val="none" w:sz="0" w:space="0" w:color="auto"/>
        <w:bottom w:val="none" w:sz="0" w:space="0" w:color="auto"/>
        <w:right w:val="none" w:sz="0" w:space="0" w:color="auto"/>
      </w:divBdr>
    </w:div>
    <w:div w:id="2086415808">
      <w:bodyDiv w:val="1"/>
      <w:marLeft w:val="0"/>
      <w:marRight w:val="0"/>
      <w:marTop w:val="0"/>
      <w:marBottom w:val="0"/>
      <w:divBdr>
        <w:top w:val="none" w:sz="0" w:space="0" w:color="auto"/>
        <w:left w:val="none" w:sz="0" w:space="0" w:color="auto"/>
        <w:bottom w:val="none" w:sz="0" w:space="0" w:color="auto"/>
        <w:right w:val="none" w:sz="0" w:space="0" w:color="auto"/>
      </w:divBdr>
    </w:div>
    <w:div w:id="2086493672">
      <w:bodyDiv w:val="1"/>
      <w:marLeft w:val="0"/>
      <w:marRight w:val="0"/>
      <w:marTop w:val="0"/>
      <w:marBottom w:val="0"/>
      <w:divBdr>
        <w:top w:val="none" w:sz="0" w:space="0" w:color="auto"/>
        <w:left w:val="none" w:sz="0" w:space="0" w:color="auto"/>
        <w:bottom w:val="none" w:sz="0" w:space="0" w:color="auto"/>
        <w:right w:val="none" w:sz="0" w:space="0" w:color="auto"/>
      </w:divBdr>
    </w:div>
    <w:div w:id="2086607655">
      <w:bodyDiv w:val="1"/>
      <w:marLeft w:val="0"/>
      <w:marRight w:val="0"/>
      <w:marTop w:val="0"/>
      <w:marBottom w:val="0"/>
      <w:divBdr>
        <w:top w:val="none" w:sz="0" w:space="0" w:color="auto"/>
        <w:left w:val="none" w:sz="0" w:space="0" w:color="auto"/>
        <w:bottom w:val="none" w:sz="0" w:space="0" w:color="auto"/>
        <w:right w:val="none" w:sz="0" w:space="0" w:color="auto"/>
      </w:divBdr>
    </w:div>
    <w:div w:id="2089769385">
      <w:bodyDiv w:val="1"/>
      <w:marLeft w:val="0"/>
      <w:marRight w:val="0"/>
      <w:marTop w:val="0"/>
      <w:marBottom w:val="0"/>
      <w:divBdr>
        <w:top w:val="none" w:sz="0" w:space="0" w:color="auto"/>
        <w:left w:val="none" w:sz="0" w:space="0" w:color="auto"/>
        <w:bottom w:val="none" w:sz="0" w:space="0" w:color="auto"/>
        <w:right w:val="none" w:sz="0" w:space="0" w:color="auto"/>
      </w:divBdr>
    </w:div>
    <w:div w:id="2092696084">
      <w:bodyDiv w:val="1"/>
      <w:marLeft w:val="0"/>
      <w:marRight w:val="0"/>
      <w:marTop w:val="0"/>
      <w:marBottom w:val="0"/>
      <w:divBdr>
        <w:top w:val="none" w:sz="0" w:space="0" w:color="auto"/>
        <w:left w:val="none" w:sz="0" w:space="0" w:color="auto"/>
        <w:bottom w:val="none" w:sz="0" w:space="0" w:color="auto"/>
        <w:right w:val="none" w:sz="0" w:space="0" w:color="auto"/>
      </w:divBdr>
    </w:div>
    <w:div w:id="2098138018">
      <w:bodyDiv w:val="1"/>
      <w:marLeft w:val="0"/>
      <w:marRight w:val="0"/>
      <w:marTop w:val="0"/>
      <w:marBottom w:val="0"/>
      <w:divBdr>
        <w:top w:val="none" w:sz="0" w:space="0" w:color="auto"/>
        <w:left w:val="none" w:sz="0" w:space="0" w:color="auto"/>
        <w:bottom w:val="none" w:sz="0" w:space="0" w:color="auto"/>
        <w:right w:val="none" w:sz="0" w:space="0" w:color="auto"/>
      </w:divBdr>
    </w:div>
    <w:div w:id="2108571287">
      <w:bodyDiv w:val="1"/>
      <w:marLeft w:val="0"/>
      <w:marRight w:val="0"/>
      <w:marTop w:val="0"/>
      <w:marBottom w:val="0"/>
      <w:divBdr>
        <w:top w:val="none" w:sz="0" w:space="0" w:color="auto"/>
        <w:left w:val="none" w:sz="0" w:space="0" w:color="auto"/>
        <w:bottom w:val="none" w:sz="0" w:space="0" w:color="auto"/>
        <w:right w:val="none" w:sz="0" w:space="0" w:color="auto"/>
      </w:divBdr>
    </w:div>
    <w:div w:id="2115320991">
      <w:bodyDiv w:val="1"/>
      <w:marLeft w:val="0"/>
      <w:marRight w:val="0"/>
      <w:marTop w:val="0"/>
      <w:marBottom w:val="0"/>
      <w:divBdr>
        <w:top w:val="none" w:sz="0" w:space="0" w:color="auto"/>
        <w:left w:val="none" w:sz="0" w:space="0" w:color="auto"/>
        <w:bottom w:val="none" w:sz="0" w:space="0" w:color="auto"/>
        <w:right w:val="none" w:sz="0" w:space="0" w:color="auto"/>
      </w:divBdr>
    </w:div>
    <w:div w:id="2117090805">
      <w:bodyDiv w:val="1"/>
      <w:marLeft w:val="0"/>
      <w:marRight w:val="0"/>
      <w:marTop w:val="0"/>
      <w:marBottom w:val="0"/>
      <w:divBdr>
        <w:top w:val="none" w:sz="0" w:space="0" w:color="auto"/>
        <w:left w:val="none" w:sz="0" w:space="0" w:color="auto"/>
        <w:bottom w:val="none" w:sz="0" w:space="0" w:color="auto"/>
        <w:right w:val="none" w:sz="0" w:space="0" w:color="auto"/>
      </w:divBdr>
    </w:div>
    <w:div w:id="2121607086">
      <w:bodyDiv w:val="1"/>
      <w:marLeft w:val="0"/>
      <w:marRight w:val="0"/>
      <w:marTop w:val="0"/>
      <w:marBottom w:val="0"/>
      <w:divBdr>
        <w:top w:val="none" w:sz="0" w:space="0" w:color="auto"/>
        <w:left w:val="none" w:sz="0" w:space="0" w:color="auto"/>
        <w:bottom w:val="none" w:sz="0" w:space="0" w:color="auto"/>
        <w:right w:val="none" w:sz="0" w:space="0" w:color="auto"/>
      </w:divBdr>
    </w:div>
    <w:div w:id="2133590801">
      <w:bodyDiv w:val="1"/>
      <w:marLeft w:val="0"/>
      <w:marRight w:val="0"/>
      <w:marTop w:val="0"/>
      <w:marBottom w:val="0"/>
      <w:divBdr>
        <w:top w:val="none" w:sz="0" w:space="0" w:color="auto"/>
        <w:left w:val="none" w:sz="0" w:space="0" w:color="auto"/>
        <w:bottom w:val="none" w:sz="0" w:space="0" w:color="auto"/>
        <w:right w:val="none" w:sz="0" w:space="0" w:color="auto"/>
      </w:divBdr>
    </w:div>
    <w:div w:id="214080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diagramColors" Target="diagrams/colors1.xml"/><Relationship Id="rId26" Type="http://schemas.openxmlformats.org/officeDocument/2006/relationships/image" Target="media/image6.png"/><Relationship Id="rId39" Type="http://schemas.openxmlformats.org/officeDocument/2006/relationships/image" Target="media/image19.png"/><Relationship Id="rId21" Type="http://schemas.openxmlformats.org/officeDocument/2006/relationships/header" Target="header5.xml"/><Relationship Id="rId34" Type="http://schemas.openxmlformats.org/officeDocument/2006/relationships/image" Target="media/image14.png"/><Relationship Id="rId42" Type="http://schemas.openxmlformats.org/officeDocument/2006/relationships/image" Target="media/image22.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1.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4.PNG"/><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eader" Target="header6.xml"/><Relationship Id="rId28" Type="http://schemas.openxmlformats.org/officeDocument/2006/relationships/image" Target="media/image8.png"/><Relationship Id="rId36" Type="http://schemas.openxmlformats.org/officeDocument/2006/relationships/image" Target="media/image16.png"/><Relationship Id="rId10" Type="http://schemas.openxmlformats.org/officeDocument/2006/relationships/footer" Target="footer1.xml"/><Relationship Id="rId19" Type="http://schemas.microsoft.com/office/2007/relationships/diagramDrawing" Target="diagrams/drawing1.xml"/><Relationship Id="rId31" Type="http://schemas.openxmlformats.org/officeDocument/2006/relationships/image" Target="media/image11.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footer" Target="footer3.xm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image" Target="media/image23.png"/><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image" Target="media/image18.png"/><Relationship Id="rId20" Type="http://schemas.openxmlformats.org/officeDocument/2006/relationships/header" Target="header4.xml"/><Relationship Id="rId41" Type="http://schemas.openxmlformats.org/officeDocument/2006/relationships/image" Target="media/image21.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hydro.com.au/clean-energy/battery-of-the-nation" TargetMode="External"/><Relationship Id="rId13" Type="http://schemas.openxmlformats.org/officeDocument/2006/relationships/hyperlink" Target="https://www.ncver.edu.au/research-and-statistics/vocstats" TargetMode="External"/><Relationship Id="rId3" Type="http://schemas.openxmlformats.org/officeDocument/2006/relationships/hyperlink" Target="https://www.stategrowth.tas.gov.au/business/trade/export_overview/export_statistics" TargetMode="External"/><Relationship Id="rId7" Type="http://schemas.openxmlformats.org/officeDocument/2006/relationships/hyperlink" Target="https://www.hydro.com.au/clean-energy/battery-of-the-nation" TargetMode="External"/><Relationship Id="rId12" Type="http://schemas.openxmlformats.org/officeDocument/2006/relationships/hyperlink" Target="https://www.ncver.edu.au/research-and-statistics/vocstats" TargetMode="External"/><Relationship Id="rId2" Type="http://schemas.openxmlformats.org/officeDocument/2006/relationships/hyperlink" Target="http://www.mrt.tas.gov.au/portal/mining" TargetMode="External"/><Relationship Id="rId1" Type="http://schemas.openxmlformats.org/officeDocument/2006/relationships/hyperlink" Target="https://www.stategrowth.tas.gov.au/__data/assets/pdf_file/0006/89547/Mining.pdf" TargetMode="External"/><Relationship Id="rId6" Type="http://schemas.openxmlformats.org/officeDocument/2006/relationships/hyperlink" Target="https://www.theadvocate.com.au/story/6292179/directors-2-million-loan-deal-for-king-island-mine-hope/" TargetMode="External"/><Relationship Id="rId11" Type="http://schemas.openxmlformats.org/officeDocument/2006/relationships/hyperlink" Target="https://www.abc.net.au/news/2018-05-22/dig-the-changing-face-of-mining-as-women-make-inroads/9786020" TargetMode="External"/><Relationship Id="rId5" Type="http://schemas.openxmlformats.org/officeDocument/2006/relationships/hyperlink" Target="https://www.australianmining.com.au/news/riley-mine-restart-pays-off-for-venture-minerals/" TargetMode="External"/><Relationship Id="rId10" Type="http://schemas.openxmlformats.org/officeDocument/2006/relationships/hyperlink" Target="https://arena.gov.au/blog/marinus-feasible/" TargetMode="External"/><Relationship Id="rId4" Type="http://schemas.openxmlformats.org/officeDocument/2006/relationships/hyperlink" Target="https://www.abc.net.au/news/2019-04-24/avebury-nickel-mine-owes-council-$1m-in-unpaid-rates/11039818" TargetMode="External"/><Relationship Id="rId9" Type="http://schemas.openxmlformats.org/officeDocument/2006/relationships/hyperlink" Target="https://arena.gov.au/blog/marinus-feasibl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45B47A-E945-4C69-88BE-CCCC2B351D65}"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AU"/>
        </a:p>
      </dgm:t>
    </dgm:pt>
    <dgm:pt modelId="{3395D3A0-CE57-4FCC-AF4B-D39E253C4C19}">
      <dgm:prSet phldrT="[Text]"/>
      <dgm:spPr/>
      <dgm:t>
        <a:bodyPr/>
        <a:lstStyle/>
        <a:p>
          <a:r>
            <a:rPr lang="en-AU"/>
            <a:t>Skill Issues</a:t>
          </a:r>
        </a:p>
      </dgm:t>
    </dgm:pt>
    <dgm:pt modelId="{C534AD9D-773F-4B5C-8D26-50AB5E950C8E}" type="parTrans" cxnId="{9F384B44-9763-4E16-8CA5-97C89DEF1B9E}">
      <dgm:prSet/>
      <dgm:spPr/>
      <dgm:t>
        <a:bodyPr/>
        <a:lstStyle/>
        <a:p>
          <a:endParaRPr lang="en-AU"/>
        </a:p>
      </dgm:t>
    </dgm:pt>
    <dgm:pt modelId="{07966C5C-94CF-4F2E-B35E-7E70B79B4C13}" type="sibTrans" cxnId="{9F384B44-9763-4E16-8CA5-97C89DEF1B9E}">
      <dgm:prSet/>
      <dgm:spPr/>
      <dgm:t>
        <a:bodyPr/>
        <a:lstStyle/>
        <a:p>
          <a:endParaRPr lang="en-AU"/>
        </a:p>
      </dgm:t>
    </dgm:pt>
    <dgm:pt modelId="{12C84CCF-6A39-4F8F-843F-CFDB88C1CF0E}">
      <dgm:prSet phldrT="[Text]"/>
      <dgm:spPr/>
      <dgm:t>
        <a:bodyPr/>
        <a:lstStyle/>
        <a:p>
          <a:pPr>
            <a:buSzPts val="1000"/>
            <a:buFont typeface="Symbol" panose="05050102010706020507" pitchFamily="18" charset="2"/>
            <a:buChar char=""/>
          </a:pPr>
          <a:r>
            <a:rPr lang="en-AU"/>
            <a:t>Accessing appropriate training</a:t>
          </a:r>
        </a:p>
      </dgm:t>
    </dgm:pt>
    <dgm:pt modelId="{FB70BB38-7EAD-4EE1-A2DC-F41438FCD4EE}" type="parTrans" cxnId="{93DE274F-453A-466E-8F22-5FB42604C04B}">
      <dgm:prSet/>
      <dgm:spPr/>
      <dgm:t>
        <a:bodyPr/>
        <a:lstStyle/>
        <a:p>
          <a:endParaRPr lang="en-AU"/>
        </a:p>
      </dgm:t>
    </dgm:pt>
    <dgm:pt modelId="{7CE2DF2B-B573-479D-931C-A5FF3DBBE040}" type="sibTrans" cxnId="{93DE274F-453A-466E-8F22-5FB42604C04B}">
      <dgm:prSet/>
      <dgm:spPr/>
      <dgm:t>
        <a:bodyPr/>
        <a:lstStyle/>
        <a:p>
          <a:endParaRPr lang="en-AU"/>
        </a:p>
      </dgm:t>
    </dgm:pt>
    <dgm:pt modelId="{64BF9817-2B00-494B-9E36-0DA366E22EBC}">
      <dgm:prSet phldrT="[Text]"/>
      <dgm:spPr/>
      <dgm:t>
        <a:bodyPr/>
        <a:lstStyle/>
        <a:p>
          <a:r>
            <a:rPr lang="en-AU"/>
            <a:t>Recruitment Issues</a:t>
          </a:r>
        </a:p>
      </dgm:t>
    </dgm:pt>
    <dgm:pt modelId="{A11A74B4-DDD3-43CE-B297-2C3F39D261FE}" type="parTrans" cxnId="{76AF0830-5B0F-411D-A0C1-C6F65E5E1563}">
      <dgm:prSet/>
      <dgm:spPr/>
      <dgm:t>
        <a:bodyPr/>
        <a:lstStyle/>
        <a:p>
          <a:endParaRPr lang="en-AU"/>
        </a:p>
      </dgm:t>
    </dgm:pt>
    <dgm:pt modelId="{177B2F94-C02D-45A7-8159-D4503295938A}" type="sibTrans" cxnId="{76AF0830-5B0F-411D-A0C1-C6F65E5E1563}">
      <dgm:prSet/>
      <dgm:spPr/>
      <dgm:t>
        <a:bodyPr/>
        <a:lstStyle/>
        <a:p>
          <a:endParaRPr lang="en-AU"/>
        </a:p>
      </dgm:t>
    </dgm:pt>
    <dgm:pt modelId="{E883FCD9-20B5-4808-9F5D-2AACBBAC2585}">
      <dgm:prSet phldrT="[Text]"/>
      <dgm:spPr/>
      <dgm:t>
        <a:bodyPr/>
        <a:lstStyle/>
        <a:p>
          <a:r>
            <a:rPr lang="en-AU"/>
            <a:t>Occupations hardest to recruit:</a:t>
          </a:r>
        </a:p>
      </dgm:t>
    </dgm:pt>
    <dgm:pt modelId="{A27935A1-A4E8-4785-AA8E-B0844742D7BF}" type="parTrans" cxnId="{9A10F6E2-9603-48E4-AE3E-8E7B1AE3A1C4}">
      <dgm:prSet/>
      <dgm:spPr/>
      <dgm:t>
        <a:bodyPr/>
        <a:lstStyle/>
        <a:p>
          <a:endParaRPr lang="en-AU"/>
        </a:p>
      </dgm:t>
    </dgm:pt>
    <dgm:pt modelId="{9C452208-DF44-4371-895C-1C322C1ACCA3}" type="sibTrans" cxnId="{9A10F6E2-9603-48E4-AE3E-8E7B1AE3A1C4}">
      <dgm:prSet/>
      <dgm:spPr/>
      <dgm:t>
        <a:bodyPr/>
        <a:lstStyle/>
        <a:p>
          <a:endParaRPr lang="en-AU"/>
        </a:p>
      </dgm:t>
    </dgm:pt>
    <dgm:pt modelId="{C3385121-D486-4264-9057-78CD3FFD23D0}">
      <dgm:prSet phldrT="[Text]"/>
      <dgm:spPr/>
      <dgm:t>
        <a:bodyPr/>
        <a:lstStyle/>
        <a:p>
          <a:r>
            <a:rPr lang="en-AU"/>
            <a:t>Top reasons for recruitment difficulties:</a:t>
          </a:r>
        </a:p>
      </dgm:t>
    </dgm:pt>
    <dgm:pt modelId="{B4D780AE-B63E-4D08-A211-4A883E12D73E}" type="parTrans" cxnId="{82D1989D-9568-4B67-AD28-3F3CB4C3316C}">
      <dgm:prSet/>
      <dgm:spPr/>
      <dgm:t>
        <a:bodyPr/>
        <a:lstStyle/>
        <a:p>
          <a:endParaRPr lang="en-AU"/>
        </a:p>
      </dgm:t>
    </dgm:pt>
    <dgm:pt modelId="{EDABB143-B9DB-483D-B88A-EA1A7C97F2FB}" type="sibTrans" cxnId="{82D1989D-9568-4B67-AD28-3F3CB4C3316C}">
      <dgm:prSet/>
      <dgm:spPr/>
      <dgm:t>
        <a:bodyPr/>
        <a:lstStyle/>
        <a:p>
          <a:endParaRPr lang="en-AU"/>
        </a:p>
      </dgm:t>
    </dgm:pt>
    <dgm:pt modelId="{9D2B4091-6EAA-47A3-8A31-051E1588AF7E}">
      <dgm:prSet phldrT="[Text]"/>
      <dgm:spPr/>
      <dgm:t>
        <a:bodyPr/>
        <a:lstStyle/>
        <a:p>
          <a:r>
            <a:rPr lang="en-AU"/>
            <a:t>Retention Issues</a:t>
          </a:r>
        </a:p>
      </dgm:t>
    </dgm:pt>
    <dgm:pt modelId="{67F790EE-30D4-49B1-940E-2F1062C8F1AB}" type="parTrans" cxnId="{EF131E86-3413-4A13-8BF0-4F7AE3982512}">
      <dgm:prSet/>
      <dgm:spPr/>
      <dgm:t>
        <a:bodyPr/>
        <a:lstStyle/>
        <a:p>
          <a:endParaRPr lang="en-AU"/>
        </a:p>
      </dgm:t>
    </dgm:pt>
    <dgm:pt modelId="{54E7680E-7ADC-4E44-AFB2-C2487DBCDC22}" type="sibTrans" cxnId="{EF131E86-3413-4A13-8BF0-4F7AE3982512}">
      <dgm:prSet/>
      <dgm:spPr/>
      <dgm:t>
        <a:bodyPr/>
        <a:lstStyle/>
        <a:p>
          <a:endParaRPr lang="en-AU"/>
        </a:p>
      </dgm:t>
    </dgm:pt>
    <dgm:pt modelId="{339C9ED6-130B-4372-950E-655BC3DAEB2A}">
      <dgm:prSet phldrT="[Text]"/>
      <dgm:spPr/>
      <dgm:t>
        <a:bodyPr/>
        <a:lstStyle/>
        <a:p>
          <a:r>
            <a:rPr lang="en-AU"/>
            <a:t>Occupations hardest to retain:</a:t>
          </a:r>
        </a:p>
      </dgm:t>
    </dgm:pt>
    <dgm:pt modelId="{656D292B-8815-4EAD-AFB3-55020B6C5378}" type="parTrans" cxnId="{A26189A3-BF73-4F0F-9A38-8B1C9211F6BB}">
      <dgm:prSet/>
      <dgm:spPr/>
      <dgm:t>
        <a:bodyPr/>
        <a:lstStyle/>
        <a:p>
          <a:endParaRPr lang="en-AU"/>
        </a:p>
      </dgm:t>
    </dgm:pt>
    <dgm:pt modelId="{5F174F21-7994-4D67-A9C7-E893C058354D}" type="sibTrans" cxnId="{A26189A3-BF73-4F0F-9A38-8B1C9211F6BB}">
      <dgm:prSet/>
      <dgm:spPr/>
      <dgm:t>
        <a:bodyPr/>
        <a:lstStyle/>
        <a:p>
          <a:endParaRPr lang="en-AU"/>
        </a:p>
      </dgm:t>
    </dgm:pt>
    <dgm:pt modelId="{D0DBA956-8187-4C2B-9637-F6426FF5ACCA}">
      <dgm:prSet/>
      <dgm:spPr/>
      <dgm:t>
        <a:bodyPr/>
        <a:lstStyle/>
        <a:p>
          <a:pPr>
            <a:buSzPts val="1000"/>
            <a:buFont typeface="Symbol" panose="05050102010706020507" pitchFamily="18" charset="2"/>
            <a:buChar char=""/>
          </a:pPr>
          <a:r>
            <a:rPr lang="en-AU"/>
            <a:t>Identifying suitable training</a:t>
          </a:r>
        </a:p>
      </dgm:t>
    </dgm:pt>
    <dgm:pt modelId="{A52A3322-2B7F-49A2-8ADF-44C8B3BEEED6}" type="parTrans" cxnId="{91E56037-B2C8-45FD-A7E9-0FDB4D53118C}">
      <dgm:prSet/>
      <dgm:spPr/>
      <dgm:t>
        <a:bodyPr/>
        <a:lstStyle/>
        <a:p>
          <a:endParaRPr lang="en-AU"/>
        </a:p>
      </dgm:t>
    </dgm:pt>
    <dgm:pt modelId="{F43D52AC-F286-4E70-826A-8C709F25CC9A}" type="sibTrans" cxnId="{91E56037-B2C8-45FD-A7E9-0FDB4D53118C}">
      <dgm:prSet/>
      <dgm:spPr/>
      <dgm:t>
        <a:bodyPr/>
        <a:lstStyle/>
        <a:p>
          <a:endParaRPr lang="en-AU"/>
        </a:p>
      </dgm:t>
    </dgm:pt>
    <dgm:pt modelId="{2D244C98-E6F6-4BF6-8653-608684CC77EB}">
      <dgm:prSet/>
      <dgm:spPr/>
      <dgm:t>
        <a:bodyPr/>
        <a:lstStyle/>
        <a:p>
          <a:r>
            <a:rPr lang="en-AU"/>
            <a:t>Releasing employees to undertake training</a:t>
          </a:r>
        </a:p>
      </dgm:t>
    </dgm:pt>
    <dgm:pt modelId="{FC33B9B9-DDBD-4CE5-B52D-56BE07CBEA5C}" type="parTrans" cxnId="{20E9C0C5-011E-4F44-A903-AEEBBBAD7DC6}">
      <dgm:prSet/>
      <dgm:spPr/>
      <dgm:t>
        <a:bodyPr/>
        <a:lstStyle/>
        <a:p>
          <a:endParaRPr lang="en-AU"/>
        </a:p>
      </dgm:t>
    </dgm:pt>
    <dgm:pt modelId="{E8CAD384-2570-4645-928A-CA6FE8C20004}" type="sibTrans" cxnId="{20E9C0C5-011E-4F44-A903-AEEBBBAD7DC6}">
      <dgm:prSet/>
      <dgm:spPr/>
      <dgm:t>
        <a:bodyPr/>
        <a:lstStyle/>
        <a:p>
          <a:endParaRPr lang="en-AU"/>
        </a:p>
      </dgm:t>
    </dgm:pt>
    <dgm:pt modelId="{52219F1B-D078-44C9-9998-DA1F0B240F41}">
      <dgm:prSet/>
      <dgm:spPr/>
      <dgm:t>
        <a:bodyPr/>
        <a:lstStyle/>
        <a:p>
          <a:pPr>
            <a:buSzPts val="1000"/>
            <a:buFont typeface="Symbol" panose="05050102010706020507" pitchFamily="18" charset="2"/>
            <a:buChar char=""/>
          </a:pPr>
          <a:r>
            <a:rPr lang="en-AU"/>
            <a:t>Managers</a:t>
          </a:r>
        </a:p>
      </dgm:t>
    </dgm:pt>
    <dgm:pt modelId="{B3BFE75A-EB50-44EC-BF58-EABCAF2D7F37}" type="parTrans" cxnId="{81F00FF0-4322-40A9-9FF2-72C970509AFE}">
      <dgm:prSet/>
      <dgm:spPr/>
      <dgm:t>
        <a:bodyPr/>
        <a:lstStyle/>
        <a:p>
          <a:endParaRPr lang="en-AU"/>
        </a:p>
      </dgm:t>
    </dgm:pt>
    <dgm:pt modelId="{43DA6B84-C767-4185-BF83-41A4EAE1F464}" type="sibTrans" cxnId="{81F00FF0-4322-40A9-9FF2-72C970509AFE}">
      <dgm:prSet/>
      <dgm:spPr/>
      <dgm:t>
        <a:bodyPr/>
        <a:lstStyle/>
        <a:p>
          <a:endParaRPr lang="en-AU"/>
        </a:p>
      </dgm:t>
    </dgm:pt>
    <dgm:pt modelId="{212DB01E-7DB3-4AAA-BDF5-A13BA04E98B9}">
      <dgm:prSet/>
      <dgm:spPr/>
      <dgm:t>
        <a:bodyPr/>
        <a:lstStyle/>
        <a:p>
          <a:pPr>
            <a:buSzPts val="1000"/>
            <a:buFont typeface="Symbol" panose="05050102010706020507" pitchFamily="18" charset="2"/>
            <a:buChar char=""/>
          </a:pPr>
          <a:r>
            <a:rPr lang="en-AU"/>
            <a:t>Professionals</a:t>
          </a:r>
        </a:p>
      </dgm:t>
    </dgm:pt>
    <dgm:pt modelId="{240949B6-3998-4B59-9D5E-18DC8480E2B3}" type="parTrans" cxnId="{EDFC4E3B-7246-42B5-AA80-CE28786BD79E}">
      <dgm:prSet/>
      <dgm:spPr/>
      <dgm:t>
        <a:bodyPr/>
        <a:lstStyle/>
        <a:p>
          <a:endParaRPr lang="en-AU"/>
        </a:p>
      </dgm:t>
    </dgm:pt>
    <dgm:pt modelId="{735F17C3-F748-4B62-A812-BE80ED88E8E4}" type="sibTrans" cxnId="{EDFC4E3B-7246-42B5-AA80-CE28786BD79E}">
      <dgm:prSet/>
      <dgm:spPr/>
      <dgm:t>
        <a:bodyPr/>
        <a:lstStyle/>
        <a:p>
          <a:endParaRPr lang="en-AU"/>
        </a:p>
      </dgm:t>
    </dgm:pt>
    <dgm:pt modelId="{9047A9BD-F6F6-4786-84E3-225DD61D67F8}">
      <dgm:prSet/>
      <dgm:spPr/>
      <dgm:t>
        <a:bodyPr/>
        <a:lstStyle/>
        <a:p>
          <a:r>
            <a:rPr lang="en-AU"/>
            <a:t>Technicians and Trades Workers</a:t>
          </a:r>
        </a:p>
      </dgm:t>
    </dgm:pt>
    <dgm:pt modelId="{085CB8A2-7967-432F-AE22-E68BDB385E3C}" type="parTrans" cxnId="{38799D35-994C-4CCF-9E8B-F240409A9D98}">
      <dgm:prSet/>
      <dgm:spPr/>
      <dgm:t>
        <a:bodyPr/>
        <a:lstStyle/>
        <a:p>
          <a:endParaRPr lang="en-AU"/>
        </a:p>
      </dgm:t>
    </dgm:pt>
    <dgm:pt modelId="{BF5126EA-19ED-4D6F-B79E-B99DCA829BD4}" type="sibTrans" cxnId="{38799D35-994C-4CCF-9E8B-F240409A9D98}">
      <dgm:prSet/>
      <dgm:spPr/>
      <dgm:t>
        <a:bodyPr/>
        <a:lstStyle/>
        <a:p>
          <a:endParaRPr lang="en-AU"/>
        </a:p>
      </dgm:t>
    </dgm:pt>
    <dgm:pt modelId="{11709E70-FD94-4085-9D2D-E5C7D9CA3D30}">
      <dgm:prSet/>
      <dgm:spPr/>
      <dgm:t>
        <a:bodyPr/>
        <a:lstStyle/>
        <a:p>
          <a:pPr>
            <a:buSzPts val="1000"/>
            <a:buFont typeface="Symbol" panose="05050102010706020507" pitchFamily="18" charset="2"/>
            <a:buChar char=""/>
          </a:pPr>
          <a:r>
            <a:rPr lang="en-AU"/>
            <a:t>Lack of skilled and experienced applicants.</a:t>
          </a:r>
        </a:p>
      </dgm:t>
    </dgm:pt>
    <dgm:pt modelId="{2B30BCD7-C824-4D01-9FA9-B68012599907}" type="parTrans" cxnId="{169BAD87-71E4-4DDB-86B8-A5857554BCEB}">
      <dgm:prSet/>
      <dgm:spPr/>
      <dgm:t>
        <a:bodyPr/>
        <a:lstStyle/>
        <a:p>
          <a:endParaRPr lang="en-AU"/>
        </a:p>
      </dgm:t>
    </dgm:pt>
    <dgm:pt modelId="{D4AA8248-2D6F-42BE-9DB7-A992A3B186A8}" type="sibTrans" cxnId="{169BAD87-71E4-4DDB-86B8-A5857554BCEB}">
      <dgm:prSet/>
      <dgm:spPr/>
      <dgm:t>
        <a:bodyPr/>
        <a:lstStyle/>
        <a:p>
          <a:endParaRPr lang="en-AU"/>
        </a:p>
      </dgm:t>
    </dgm:pt>
    <dgm:pt modelId="{16276157-D825-4E9B-BA36-42E1BE8D5152}">
      <dgm:prSet/>
      <dgm:spPr/>
      <dgm:t>
        <a:bodyPr/>
        <a:lstStyle/>
        <a:p>
          <a:pPr>
            <a:buSzPts val="1000"/>
            <a:buFont typeface="Symbol" panose="05050102010706020507" pitchFamily="18" charset="2"/>
            <a:buChar char=""/>
          </a:pPr>
          <a:r>
            <a:rPr lang="en-AU"/>
            <a:t>Lack of applicants generally</a:t>
          </a:r>
        </a:p>
      </dgm:t>
    </dgm:pt>
    <dgm:pt modelId="{7EAADC7F-F40E-482B-98CD-6882F231C4BD}" type="parTrans" cxnId="{9112B66C-B9FA-4E8B-983C-B906A99BECC7}">
      <dgm:prSet/>
      <dgm:spPr/>
      <dgm:t>
        <a:bodyPr/>
        <a:lstStyle/>
        <a:p>
          <a:endParaRPr lang="en-AU"/>
        </a:p>
      </dgm:t>
    </dgm:pt>
    <dgm:pt modelId="{B031A132-D3DD-449C-B795-D201EAF7E959}" type="sibTrans" cxnId="{9112B66C-B9FA-4E8B-983C-B906A99BECC7}">
      <dgm:prSet/>
      <dgm:spPr/>
      <dgm:t>
        <a:bodyPr/>
        <a:lstStyle/>
        <a:p>
          <a:endParaRPr lang="en-AU"/>
        </a:p>
      </dgm:t>
    </dgm:pt>
    <dgm:pt modelId="{A084BB25-B85F-45DF-93A4-43A98F03328F}">
      <dgm:prSet/>
      <dgm:spPr/>
      <dgm:t>
        <a:bodyPr/>
        <a:lstStyle/>
        <a:p>
          <a:r>
            <a:rPr lang="en-AU"/>
            <a:t>Salary levels offered</a:t>
          </a:r>
        </a:p>
      </dgm:t>
    </dgm:pt>
    <dgm:pt modelId="{BF5783D8-BDB1-4B0D-B6A3-EF7EBC3DEB95}" type="parTrans" cxnId="{1276909F-717A-4936-9A49-AE70815D49BA}">
      <dgm:prSet/>
      <dgm:spPr/>
      <dgm:t>
        <a:bodyPr/>
        <a:lstStyle/>
        <a:p>
          <a:endParaRPr lang="en-AU"/>
        </a:p>
      </dgm:t>
    </dgm:pt>
    <dgm:pt modelId="{17CA559A-CF89-4974-AE19-280A3F40EC52}" type="sibTrans" cxnId="{1276909F-717A-4936-9A49-AE70815D49BA}">
      <dgm:prSet/>
      <dgm:spPr/>
      <dgm:t>
        <a:bodyPr/>
        <a:lstStyle/>
        <a:p>
          <a:endParaRPr lang="en-AU"/>
        </a:p>
      </dgm:t>
    </dgm:pt>
    <dgm:pt modelId="{0DE4AC76-4D3A-4526-A9E0-87CF1256A7C7}">
      <dgm:prSet/>
      <dgm:spPr/>
      <dgm:t>
        <a:bodyPr/>
        <a:lstStyle/>
        <a:p>
          <a:pPr>
            <a:buSzPts val="1000"/>
            <a:buFont typeface="Symbol" panose="05050102010706020507" pitchFamily="18" charset="2"/>
            <a:buChar char=""/>
          </a:pPr>
          <a:r>
            <a:rPr lang="en-AU"/>
            <a:t>Professionals</a:t>
          </a:r>
        </a:p>
      </dgm:t>
    </dgm:pt>
    <dgm:pt modelId="{03FFEF97-9DFE-4811-9A10-193CEAA84DF9}" type="parTrans" cxnId="{8C392F7C-1C82-41E5-A4B8-D407A99CAF45}">
      <dgm:prSet/>
      <dgm:spPr/>
      <dgm:t>
        <a:bodyPr/>
        <a:lstStyle/>
        <a:p>
          <a:endParaRPr lang="en-AU"/>
        </a:p>
      </dgm:t>
    </dgm:pt>
    <dgm:pt modelId="{CF87233B-5114-4119-B67B-853D9740D8AB}" type="sibTrans" cxnId="{8C392F7C-1C82-41E5-A4B8-D407A99CAF45}">
      <dgm:prSet/>
      <dgm:spPr/>
      <dgm:t>
        <a:bodyPr/>
        <a:lstStyle/>
        <a:p>
          <a:endParaRPr lang="en-AU"/>
        </a:p>
      </dgm:t>
    </dgm:pt>
    <dgm:pt modelId="{F14770A3-A96A-4940-A53F-A8727CBB01BD}">
      <dgm:prSet/>
      <dgm:spPr/>
      <dgm:t>
        <a:bodyPr/>
        <a:lstStyle/>
        <a:p>
          <a:pPr>
            <a:buSzPts val="1000"/>
            <a:buFont typeface="Symbol" panose="05050102010706020507" pitchFamily="18" charset="2"/>
            <a:buChar char=""/>
          </a:pPr>
          <a:r>
            <a:rPr lang="en-AU"/>
            <a:t>Technicians and Trades Workers</a:t>
          </a:r>
        </a:p>
      </dgm:t>
    </dgm:pt>
    <dgm:pt modelId="{9834DCAE-DADA-42FA-A5EE-F09D6B41FBBA}" type="parTrans" cxnId="{9F99D9DF-065E-4734-9F4F-3829D8B8191A}">
      <dgm:prSet/>
      <dgm:spPr/>
      <dgm:t>
        <a:bodyPr/>
        <a:lstStyle/>
        <a:p>
          <a:endParaRPr lang="en-AU"/>
        </a:p>
      </dgm:t>
    </dgm:pt>
    <dgm:pt modelId="{C4F45127-1B90-4C6D-BDAC-F58941636DDB}" type="sibTrans" cxnId="{9F99D9DF-065E-4734-9F4F-3829D8B8191A}">
      <dgm:prSet/>
      <dgm:spPr/>
      <dgm:t>
        <a:bodyPr/>
        <a:lstStyle/>
        <a:p>
          <a:endParaRPr lang="en-AU"/>
        </a:p>
      </dgm:t>
    </dgm:pt>
    <dgm:pt modelId="{721BE29D-CC45-4EDA-81D4-B6B760F2E09C}">
      <dgm:prSet/>
      <dgm:spPr/>
      <dgm:t>
        <a:bodyPr/>
        <a:lstStyle/>
        <a:p>
          <a:pPr>
            <a:buSzPts val="1000"/>
            <a:buFont typeface="Symbol" panose="05050102010706020507" pitchFamily="18" charset="2"/>
            <a:buChar char=""/>
          </a:pPr>
          <a:r>
            <a:rPr lang="en-AU"/>
            <a:t>Managers</a:t>
          </a:r>
        </a:p>
      </dgm:t>
    </dgm:pt>
    <dgm:pt modelId="{D1E539D5-F04E-423B-8360-05C65E391F5E}" type="parTrans" cxnId="{6D6BA77C-E507-4ECB-BC04-368FBC79D0D9}">
      <dgm:prSet/>
      <dgm:spPr/>
      <dgm:t>
        <a:bodyPr/>
        <a:lstStyle/>
        <a:p>
          <a:endParaRPr lang="en-AU"/>
        </a:p>
      </dgm:t>
    </dgm:pt>
    <dgm:pt modelId="{377E0E46-2153-43BA-81CA-9C09BABB4C2D}" type="sibTrans" cxnId="{6D6BA77C-E507-4ECB-BC04-368FBC79D0D9}">
      <dgm:prSet/>
      <dgm:spPr/>
      <dgm:t>
        <a:bodyPr/>
        <a:lstStyle/>
        <a:p>
          <a:endParaRPr lang="en-AU"/>
        </a:p>
      </dgm:t>
    </dgm:pt>
    <dgm:pt modelId="{BAEC551B-B890-4F90-A706-4E387EF27FC2}">
      <dgm:prSet/>
      <dgm:spPr/>
      <dgm:t>
        <a:bodyPr/>
        <a:lstStyle/>
        <a:p>
          <a:r>
            <a:rPr lang="en-AU"/>
            <a:t>Top reasons for retention difficulties:</a:t>
          </a:r>
        </a:p>
      </dgm:t>
    </dgm:pt>
    <dgm:pt modelId="{C734BE65-0911-4321-B0BB-D0F33F40445A}" type="parTrans" cxnId="{FB420725-A46E-4314-8C7B-6A2271D80F54}">
      <dgm:prSet/>
      <dgm:spPr/>
      <dgm:t>
        <a:bodyPr/>
        <a:lstStyle/>
        <a:p>
          <a:endParaRPr lang="en-AU"/>
        </a:p>
      </dgm:t>
    </dgm:pt>
    <dgm:pt modelId="{3AC91466-6366-4DFE-95C2-31031866CCA7}" type="sibTrans" cxnId="{FB420725-A46E-4314-8C7B-6A2271D80F54}">
      <dgm:prSet/>
      <dgm:spPr/>
      <dgm:t>
        <a:bodyPr/>
        <a:lstStyle/>
        <a:p>
          <a:endParaRPr lang="en-AU"/>
        </a:p>
      </dgm:t>
    </dgm:pt>
    <dgm:pt modelId="{240CE1FE-497B-4BFE-BC89-2CF927F55AAB}">
      <dgm:prSet/>
      <dgm:spPr/>
      <dgm:t>
        <a:bodyPr/>
        <a:lstStyle/>
        <a:p>
          <a:pPr>
            <a:buSzPts val="1000"/>
            <a:buFont typeface="Symbol" panose="05050102010706020507" pitchFamily="18" charset="2"/>
            <a:buChar char=""/>
          </a:pPr>
          <a:r>
            <a:rPr lang="en-AU"/>
            <a:t>Salary levels offered</a:t>
          </a:r>
        </a:p>
      </dgm:t>
    </dgm:pt>
    <dgm:pt modelId="{24DE24F0-1E80-4C2F-AFA5-68082C1E7E64}" type="parTrans" cxnId="{2674F5F0-3F13-45FF-9EC8-D5A1E72FF41E}">
      <dgm:prSet/>
      <dgm:spPr/>
      <dgm:t>
        <a:bodyPr/>
        <a:lstStyle/>
        <a:p>
          <a:endParaRPr lang="en-AU"/>
        </a:p>
      </dgm:t>
    </dgm:pt>
    <dgm:pt modelId="{1ADDF3FE-19BD-4985-865E-64C5D5C79D34}" type="sibTrans" cxnId="{2674F5F0-3F13-45FF-9EC8-D5A1E72FF41E}">
      <dgm:prSet/>
      <dgm:spPr/>
      <dgm:t>
        <a:bodyPr/>
        <a:lstStyle/>
        <a:p>
          <a:endParaRPr lang="en-AU"/>
        </a:p>
      </dgm:t>
    </dgm:pt>
    <dgm:pt modelId="{8DE42A7C-C39C-4218-867D-B28ACD924A4A}">
      <dgm:prSet/>
      <dgm:spPr/>
      <dgm:t>
        <a:bodyPr/>
        <a:lstStyle/>
        <a:p>
          <a:r>
            <a:rPr lang="en-AU"/>
            <a:t>Terms and conditions of employment</a:t>
          </a:r>
        </a:p>
      </dgm:t>
    </dgm:pt>
    <dgm:pt modelId="{5B10808B-4C80-4F0B-A67C-40422D5BEAC8}" type="parTrans" cxnId="{9EBD44D3-117C-4D7D-B313-8D3BBCBCE7F3}">
      <dgm:prSet/>
      <dgm:spPr/>
      <dgm:t>
        <a:bodyPr/>
        <a:lstStyle/>
        <a:p>
          <a:endParaRPr lang="en-AU"/>
        </a:p>
      </dgm:t>
    </dgm:pt>
    <dgm:pt modelId="{B377F9E2-8163-4EAA-AAEE-B25DAD81FD48}" type="sibTrans" cxnId="{9EBD44D3-117C-4D7D-B313-8D3BBCBCE7F3}">
      <dgm:prSet/>
      <dgm:spPr/>
      <dgm:t>
        <a:bodyPr/>
        <a:lstStyle/>
        <a:p>
          <a:endParaRPr lang="en-AU"/>
        </a:p>
      </dgm:t>
    </dgm:pt>
    <dgm:pt modelId="{E9AF94C7-7C26-40FE-8672-88A736DFD6E6}" type="pres">
      <dgm:prSet presAssocID="{B345B47A-E945-4C69-88BE-CCCC2B351D65}" presName="theList" presStyleCnt="0">
        <dgm:presLayoutVars>
          <dgm:dir/>
          <dgm:animLvl val="lvl"/>
          <dgm:resizeHandles val="exact"/>
        </dgm:presLayoutVars>
      </dgm:prSet>
      <dgm:spPr/>
    </dgm:pt>
    <dgm:pt modelId="{0C3000D7-1528-4797-82A2-07AB18CDF612}" type="pres">
      <dgm:prSet presAssocID="{3395D3A0-CE57-4FCC-AF4B-D39E253C4C19}" presName="compNode" presStyleCnt="0"/>
      <dgm:spPr/>
    </dgm:pt>
    <dgm:pt modelId="{39614C59-D665-42C3-B95B-03891609ACD8}" type="pres">
      <dgm:prSet presAssocID="{3395D3A0-CE57-4FCC-AF4B-D39E253C4C19}" presName="aNode" presStyleLbl="bgShp" presStyleIdx="0" presStyleCnt="3"/>
      <dgm:spPr/>
    </dgm:pt>
    <dgm:pt modelId="{EF3B9ED8-BAB3-48AC-AAC9-B9DC562E5E1D}" type="pres">
      <dgm:prSet presAssocID="{3395D3A0-CE57-4FCC-AF4B-D39E253C4C19}" presName="textNode" presStyleLbl="bgShp" presStyleIdx="0" presStyleCnt="3"/>
      <dgm:spPr/>
    </dgm:pt>
    <dgm:pt modelId="{F7C54A38-8971-452B-A254-F582B25A48FC}" type="pres">
      <dgm:prSet presAssocID="{3395D3A0-CE57-4FCC-AF4B-D39E253C4C19}" presName="compChildNode" presStyleCnt="0"/>
      <dgm:spPr/>
    </dgm:pt>
    <dgm:pt modelId="{B22CE92E-958A-46AA-8523-F6AAD891B5DD}" type="pres">
      <dgm:prSet presAssocID="{3395D3A0-CE57-4FCC-AF4B-D39E253C4C19}" presName="theInnerList" presStyleCnt="0"/>
      <dgm:spPr/>
    </dgm:pt>
    <dgm:pt modelId="{B714E7B5-0B67-4926-B8F0-F100BB4E6BBC}" type="pres">
      <dgm:prSet presAssocID="{12C84CCF-6A39-4F8F-843F-CFDB88C1CF0E}" presName="childNode" presStyleLbl="node1" presStyleIdx="0" presStyleCnt="7">
        <dgm:presLayoutVars>
          <dgm:bulletEnabled val="1"/>
        </dgm:presLayoutVars>
      </dgm:prSet>
      <dgm:spPr/>
    </dgm:pt>
    <dgm:pt modelId="{8470A1DE-7767-413B-844E-752DAB526BC7}" type="pres">
      <dgm:prSet presAssocID="{12C84CCF-6A39-4F8F-843F-CFDB88C1CF0E}" presName="aSpace2" presStyleCnt="0"/>
      <dgm:spPr/>
    </dgm:pt>
    <dgm:pt modelId="{5ABE6837-6DF4-4C5C-B51C-01B9D44C46A9}" type="pres">
      <dgm:prSet presAssocID="{D0DBA956-8187-4C2B-9637-F6426FF5ACCA}" presName="childNode" presStyleLbl="node1" presStyleIdx="1" presStyleCnt="7">
        <dgm:presLayoutVars>
          <dgm:bulletEnabled val="1"/>
        </dgm:presLayoutVars>
      </dgm:prSet>
      <dgm:spPr/>
    </dgm:pt>
    <dgm:pt modelId="{CC63F177-10E4-4061-9990-851579F0CA3F}" type="pres">
      <dgm:prSet presAssocID="{D0DBA956-8187-4C2B-9637-F6426FF5ACCA}" presName="aSpace2" presStyleCnt="0"/>
      <dgm:spPr/>
    </dgm:pt>
    <dgm:pt modelId="{AFB50A9E-EA6F-40C0-B5A9-E2E44497A165}" type="pres">
      <dgm:prSet presAssocID="{2D244C98-E6F6-4BF6-8653-608684CC77EB}" presName="childNode" presStyleLbl="node1" presStyleIdx="2" presStyleCnt="7">
        <dgm:presLayoutVars>
          <dgm:bulletEnabled val="1"/>
        </dgm:presLayoutVars>
      </dgm:prSet>
      <dgm:spPr/>
    </dgm:pt>
    <dgm:pt modelId="{51C538ED-68A9-43AC-AD81-3EC24EB40781}" type="pres">
      <dgm:prSet presAssocID="{3395D3A0-CE57-4FCC-AF4B-D39E253C4C19}" presName="aSpace" presStyleCnt="0"/>
      <dgm:spPr/>
    </dgm:pt>
    <dgm:pt modelId="{42E6236F-0040-4295-B33A-F7960771AAB1}" type="pres">
      <dgm:prSet presAssocID="{64BF9817-2B00-494B-9E36-0DA366E22EBC}" presName="compNode" presStyleCnt="0"/>
      <dgm:spPr/>
    </dgm:pt>
    <dgm:pt modelId="{4C018936-B74C-48B5-8B39-C532DDDD5B30}" type="pres">
      <dgm:prSet presAssocID="{64BF9817-2B00-494B-9E36-0DA366E22EBC}" presName="aNode" presStyleLbl="bgShp" presStyleIdx="1" presStyleCnt="3"/>
      <dgm:spPr/>
    </dgm:pt>
    <dgm:pt modelId="{E42A1BC1-D5BC-4CDA-8E4F-0AA224A28DA2}" type="pres">
      <dgm:prSet presAssocID="{64BF9817-2B00-494B-9E36-0DA366E22EBC}" presName="textNode" presStyleLbl="bgShp" presStyleIdx="1" presStyleCnt="3"/>
      <dgm:spPr/>
    </dgm:pt>
    <dgm:pt modelId="{A6B0BC38-A64B-4252-BE38-24F6E010CC82}" type="pres">
      <dgm:prSet presAssocID="{64BF9817-2B00-494B-9E36-0DA366E22EBC}" presName="compChildNode" presStyleCnt="0"/>
      <dgm:spPr/>
    </dgm:pt>
    <dgm:pt modelId="{10740653-191F-41A1-9A57-01C1073D63DB}" type="pres">
      <dgm:prSet presAssocID="{64BF9817-2B00-494B-9E36-0DA366E22EBC}" presName="theInnerList" presStyleCnt="0"/>
      <dgm:spPr/>
    </dgm:pt>
    <dgm:pt modelId="{6AD058DF-F419-402E-BFBD-D2DF903F5BC6}" type="pres">
      <dgm:prSet presAssocID="{E883FCD9-20B5-4808-9F5D-2AACBBAC2585}" presName="childNode" presStyleLbl="node1" presStyleIdx="3" presStyleCnt="7">
        <dgm:presLayoutVars>
          <dgm:bulletEnabled val="1"/>
        </dgm:presLayoutVars>
      </dgm:prSet>
      <dgm:spPr/>
    </dgm:pt>
    <dgm:pt modelId="{912FCF09-D0CA-40DF-B807-0FD4EFCA7567}" type="pres">
      <dgm:prSet presAssocID="{E883FCD9-20B5-4808-9F5D-2AACBBAC2585}" presName="aSpace2" presStyleCnt="0"/>
      <dgm:spPr/>
    </dgm:pt>
    <dgm:pt modelId="{DAC7E64F-903F-47C8-8E18-BCC38F6AB97F}" type="pres">
      <dgm:prSet presAssocID="{C3385121-D486-4264-9057-78CD3FFD23D0}" presName="childNode" presStyleLbl="node1" presStyleIdx="4" presStyleCnt="7">
        <dgm:presLayoutVars>
          <dgm:bulletEnabled val="1"/>
        </dgm:presLayoutVars>
      </dgm:prSet>
      <dgm:spPr/>
    </dgm:pt>
    <dgm:pt modelId="{B8778D52-12F3-4E79-8FC9-6BD2BC826D85}" type="pres">
      <dgm:prSet presAssocID="{64BF9817-2B00-494B-9E36-0DA366E22EBC}" presName="aSpace" presStyleCnt="0"/>
      <dgm:spPr/>
    </dgm:pt>
    <dgm:pt modelId="{E7C84F12-B644-45FC-8F62-391DE929E4E2}" type="pres">
      <dgm:prSet presAssocID="{9D2B4091-6EAA-47A3-8A31-051E1588AF7E}" presName="compNode" presStyleCnt="0"/>
      <dgm:spPr/>
    </dgm:pt>
    <dgm:pt modelId="{2474AF4F-10C8-454A-A86F-E2C20CEE0338}" type="pres">
      <dgm:prSet presAssocID="{9D2B4091-6EAA-47A3-8A31-051E1588AF7E}" presName="aNode" presStyleLbl="bgShp" presStyleIdx="2" presStyleCnt="3"/>
      <dgm:spPr/>
    </dgm:pt>
    <dgm:pt modelId="{B70D2EBA-A387-4E39-9A64-E2ECD3932B42}" type="pres">
      <dgm:prSet presAssocID="{9D2B4091-6EAA-47A3-8A31-051E1588AF7E}" presName="textNode" presStyleLbl="bgShp" presStyleIdx="2" presStyleCnt="3"/>
      <dgm:spPr/>
    </dgm:pt>
    <dgm:pt modelId="{6F741548-6F80-4B00-9083-AF8C03DC792C}" type="pres">
      <dgm:prSet presAssocID="{9D2B4091-6EAA-47A3-8A31-051E1588AF7E}" presName="compChildNode" presStyleCnt="0"/>
      <dgm:spPr/>
    </dgm:pt>
    <dgm:pt modelId="{BF57A291-77C0-4B10-96C8-172F17D40480}" type="pres">
      <dgm:prSet presAssocID="{9D2B4091-6EAA-47A3-8A31-051E1588AF7E}" presName="theInnerList" presStyleCnt="0"/>
      <dgm:spPr/>
    </dgm:pt>
    <dgm:pt modelId="{43CC9687-7CA9-406A-8C2F-5F5147A949F1}" type="pres">
      <dgm:prSet presAssocID="{339C9ED6-130B-4372-950E-655BC3DAEB2A}" presName="childNode" presStyleLbl="node1" presStyleIdx="5" presStyleCnt="7">
        <dgm:presLayoutVars>
          <dgm:bulletEnabled val="1"/>
        </dgm:presLayoutVars>
      </dgm:prSet>
      <dgm:spPr/>
    </dgm:pt>
    <dgm:pt modelId="{6BA417BF-8479-4D2A-9550-8AE264046348}" type="pres">
      <dgm:prSet presAssocID="{339C9ED6-130B-4372-950E-655BC3DAEB2A}" presName="aSpace2" presStyleCnt="0"/>
      <dgm:spPr/>
    </dgm:pt>
    <dgm:pt modelId="{356246FB-9EAC-4D20-9F6F-14858B26B814}" type="pres">
      <dgm:prSet presAssocID="{BAEC551B-B890-4F90-A706-4E387EF27FC2}" presName="childNode" presStyleLbl="node1" presStyleIdx="6" presStyleCnt="7">
        <dgm:presLayoutVars>
          <dgm:bulletEnabled val="1"/>
        </dgm:presLayoutVars>
      </dgm:prSet>
      <dgm:spPr/>
    </dgm:pt>
  </dgm:ptLst>
  <dgm:cxnLst>
    <dgm:cxn modelId="{1B56871E-6699-4321-9C7B-B540B7D1652B}" type="presOf" srcId="{240CE1FE-497B-4BFE-BC89-2CF927F55AAB}" destId="{356246FB-9EAC-4D20-9F6F-14858B26B814}" srcOrd="0" destOrd="1" presId="urn:microsoft.com/office/officeart/2005/8/layout/lProcess2"/>
    <dgm:cxn modelId="{C41DF721-94F1-4E31-AC4D-FF3C0C3E5AD5}" type="presOf" srcId="{C3385121-D486-4264-9057-78CD3FFD23D0}" destId="{DAC7E64F-903F-47C8-8E18-BCC38F6AB97F}" srcOrd="0" destOrd="0" presId="urn:microsoft.com/office/officeart/2005/8/layout/lProcess2"/>
    <dgm:cxn modelId="{FB420725-A46E-4314-8C7B-6A2271D80F54}" srcId="{9D2B4091-6EAA-47A3-8A31-051E1588AF7E}" destId="{BAEC551B-B890-4F90-A706-4E387EF27FC2}" srcOrd="1" destOrd="0" parTransId="{C734BE65-0911-4321-B0BB-D0F33F40445A}" sibTransId="{3AC91466-6366-4DFE-95C2-31031866CCA7}"/>
    <dgm:cxn modelId="{76AF0830-5B0F-411D-A0C1-C6F65E5E1563}" srcId="{B345B47A-E945-4C69-88BE-CCCC2B351D65}" destId="{64BF9817-2B00-494B-9E36-0DA366E22EBC}" srcOrd="1" destOrd="0" parTransId="{A11A74B4-DDD3-43CE-B297-2C3F39D261FE}" sibTransId="{177B2F94-C02D-45A7-8159-D4503295938A}"/>
    <dgm:cxn modelId="{38799D35-994C-4CCF-9E8B-F240409A9D98}" srcId="{E883FCD9-20B5-4808-9F5D-2AACBBAC2585}" destId="{9047A9BD-F6F6-4786-84E3-225DD61D67F8}" srcOrd="2" destOrd="0" parTransId="{085CB8A2-7967-432F-AE22-E68BDB385E3C}" sibTransId="{BF5126EA-19ED-4D6F-B79E-B99DCA829BD4}"/>
    <dgm:cxn modelId="{91E56037-B2C8-45FD-A7E9-0FDB4D53118C}" srcId="{3395D3A0-CE57-4FCC-AF4B-D39E253C4C19}" destId="{D0DBA956-8187-4C2B-9637-F6426FF5ACCA}" srcOrd="1" destOrd="0" parTransId="{A52A3322-2B7F-49A2-8ADF-44C8B3BEEED6}" sibTransId="{F43D52AC-F286-4E70-826A-8C709F25CC9A}"/>
    <dgm:cxn modelId="{DF7D6B39-ADFB-4FDD-9AD9-4B410C450529}" type="presOf" srcId="{2D244C98-E6F6-4BF6-8653-608684CC77EB}" destId="{AFB50A9E-EA6F-40C0-B5A9-E2E44497A165}" srcOrd="0" destOrd="0" presId="urn:microsoft.com/office/officeart/2005/8/layout/lProcess2"/>
    <dgm:cxn modelId="{193D6C3B-B676-4502-B0EC-4C30D2764AB2}" type="presOf" srcId="{B345B47A-E945-4C69-88BE-CCCC2B351D65}" destId="{E9AF94C7-7C26-40FE-8672-88A736DFD6E6}" srcOrd="0" destOrd="0" presId="urn:microsoft.com/office/officeart/2005/8/layout/lProcess2"/>
    <dgm:cxn modelId="{EDFC4E3B-7246-42B5-AA80-CE28786BD79E}" srcId="{E883FCD9-20B5-4808-9F5D-2AACBBAC2585}" destId="{212DB01E-7DB3-4AAA-BDF5-A13BA04E98B9}" srcOrd="1" destOrd="0" parTransId="{240949B6-3998-4B59-9D5E-18DC8480E2B3}" sibTransId="{735F17C3-F748-4B62-A812-BE80ED88E8E4}"/>
    <dgm:cxn modelId="{9F384B44-9763-4E16-8CA5-97C89DEF1B9E}" srcId="{B345B47A-E945-4C69-88BE-CCCC2B351D65}" destId="{3395D3A0-CE57-4FCC-AF4B-D39E253C4C19}" srcOrd="0" destOrd="0" parTransId="{C534AD9D-773F-4B5C-8D26-50AB5E950C8E}" sibTransId="{07966C5C-94CF-4F2E-B35E-7E70B79B4C13}"/>
    <dgm:cxn modelId="{281EDA45-6E5D-4787-BE61-42DCE3A9E494}" type="presOf" srcId="{A084BB25-B85F-45DF-93A4-43A98F03328F}" destId="{DAC7E64F-903F-47C8-8E18-BCC38F6AB97F}" srcOrd="0" destOrd="3" presId="urn:microsoft.com/office/officeart/2005/8/layout/lProcess2"/>
    <dgm:cxn modelId="{9112B66C-B9FA-4E8B-983C-B906A99BECC7}" srcId="{C3385121-D486-4264-9057-78CD3FFD23D0}" destId="{16276157-D825-4E9B-BA36-42E1BE8D5152}" srcOrd="1" destOrd="0" parTransId="{7EAADC7F-F40E-482B-98CD-6882F231C4BD}" sibTransId="{B031A132-D3DD-449C-B795-D201EAF7E959}"/>
    <dgm:cxn modelId="{2271EE4D-45E3-4607-9BD3-C9F9FA39C68D}" type="presOf" srcId="{F14770A3-A96A-4940-A53F-A8727CBB01BD}" destId="{43CC9687-7CA9-406A-8C2F-5F5147A949F1}" srcOrd="0" destOrd="2" presId="urn:microsoft.com/office/officeart/2005/8/layout/lProcess2"/>
    <dgm:cxn modelId="{5B74024F-91D2-4315-A5E2-F7D94AAD09CF}" type="presOf" srcId="{9D2B4091-6EAA-47A3-8A31-051E1588AF7E}" destId="{B70D2EBA-A387-4E39-9A64-E2ECD3932B42}" srcOrd="1" destOrd="0" presId="urn:microsoft.com/office/officeart/2005/8/layout/lProcess2"/>
    <dgm:cxn modelId="{93DE274F-453A-466E-8F22-5FB42604C04B}" srcId="{3395D3A0-CE57-4FCC-AF4B-D39E253C4C19}" destId="{12C84CCF-6A39-4F8F-843F-CFDB88C1CF0E}" srcOrd="0" destOrd="0" parTransId="{FB70BB38-7EAD-4EE1-A2DC-F41438FCD4EE}" sibTransId="{7CE2DF2B-B573-479D-931C-A5FF3DBBE040}"/>
    <dgm:cxn modelId="{FDAADB50-C95B-49FF-9372-22DAD9B5350F}" type="presOf" srcId="{0DE4AC76-4D3A-4526-A9E0-87CF1256A7C7}" destId="{43CC9687-7CA9-406A-8C2F-5F5147A949F1}" srcOrd="0" destOrd="1" presId="urn:microsoft.com/office/officeart/2005/8/layout/lProcess2"/>
    <dgm:cxn modelId="{3A7AB572-FEE7-4A1B-8C6F-744C16FB6DE8}" type="presOf" srcId="{11709E70-FD94-4085-9D2D-E5C7D9CA3D30}" destId="{DAC7E64F-903F-47C8-8E18-BCC38F6AB97F}" srcOrd="0" destOrd="1" presId="urn:microsoft.com/office/officeart/2005/8/layout/lProcess2"/>
    <dgm:cxn modelId="{12840259-583E-4EBF-8362-9C750CD8A615}" type="presOf" srcId="{212DB01E-7DB3-4AAA-BDF5-A13BA04E98B9}" destId="{6AD058DF-F419-402E-BFBD-D2DF903F5BC6}" srcOrd="0" destOrd="2" presId="urn:microsoft.com/office/officeart/2005/8/layout/lProcess2"/>
    <dgm:cxn modelId="{5F820479-6C3E-4779-852B-0BE0B637698D}" type="presOf" srcId="{3395D3A0-CE57-4FCC-AF4B-D39E253C4C19}" destId="{EF3B9ED8-BAB3-48AC-AAC9-B9DC562E5E1D}" srcOrd="1" destOrd="0" presId="urn:microsoft.com/office/officeart/2005/8/layout/lProcess2"/>
    <dgm:cxn modelId="{8C392F7C-1C82-41E5-A4B8-D407A99CAF45}" srcId="{339C9ED6-130B-4372-950E-655BC3DAEB2A}" destId="{0DE4AC76-4D3A-4526-A9E0-87CF1256A7C7}" srcOrd="0" destOrd="0" parTransId="{03FFEF97-9DFE-4811-9A10-193CEAA84DF9}" sibTransId="{CF87233B-5114-4119-B67B-853D9740D8AB}"/>
    <dgm:cxn modelId="{6D6BA77C-E507-4ECB-BC04-368FBC79D0D9}" srcId="{339C9ED6-130B-4372-950E-655BC3DAEB2A}" destId="{721BE29D-CC45-4EDA-81D4-B6B760F2E09C}" srcOrd="2" destOrd="0" parTransId="{D1E539D5-F04E-423B-8360-05C65E391F5E}" sibTransId="{377E0E46-2153-43BA-81CA-9C09BABB4C2D}"/>
    <dgm:cxn modelId="{EF131E86-3413-4A13-8BF0-4F7AE3982512}" srcId="{B345B47A-E945-4C69-88BE-CCCC2B351D65}" destId="{9D2B4091-6EAA-47A3-8A31-051E1588AF7E}" srcOrd="2" destOrd="0" parTransId="{67F790EE-30D4-49B1-940E-2F1062C8F1AB}" sibTransId="{54E7680E-7ADC-4E44-AFB2-C2487DBCDC22}"/>
    <dgm:cxn modelId="{169BAD87-71E4-4DDB-86B8-A5857554BCEB}" srcId="{C3385121-D486-4264-9057-78CD3FFD23D0}" destId="{11709E70-FD94-4085-9D2D-E5C7D9CA3D30}" srcOrd="0" destOrd="0" parTransId="{2B30BCD7-C824-4D01-9FA9-B68012599907}" sibTransId="{D4AA8248-2D6F-42BE-9DB7-A992A3B186A8}"/>
    <dgm:cxn modelId="{B8913993-D59F-4595-BC0F-264B3126A92D}" type="presOf" srcId="{12C84CCF-6A39-4F8F-843F-CFDB88C1CF0E}" destId="{B714E7B5-0B67-4926-B8F0-F100BB4E6BBC}" srcOrd="0" destOrd="0" presId="urn:microsoft.com/office/officeart/2005/8/layout/lProcess2"/>
    <dgm:cxn modelId="{50203D99-53BD-46DB-9888-A35E475130DD}" type="presOf" srcId="{BAEC551B-B890-4F90-A706-4E387EF27FC2}" destId="{356246FB-9EAC-4D20-9F6F-14858B26B814}" srcOrd="0" destOrd="0" presId="urn:microsoft.com/office/officeart/2005/8/layout/lProcess2"/>
    <dgm:cxn modelId="{B199149A-B45B-4095-8E91-32852904683C}" type="presOf" srcId="{3395D3A0-CE57-4FCC-AF4B-D39E253C4C19}" destId="{39614C59-D665-42C3-B95B-03891609ACD8}" srcOrd="0" destOrd="0" presId="urn:microsoft.com/office/officeart/2005/8/layout/lProcess2"/>
    <dgm:cxn modelId="{82D1989D-9568-4B67-AD28-3F3CB4C3316C}" srcId="{64BF9817-2B00-494B-9E36-0DA366E22EBC}" destId="{C3385121-D486-4264-9057-78CD3FFD23D0}" srcOrd="1" destOrd="0" parTransId="{B4D780AE-B63E-4D08-A211-4A883E12D73E}" sibTransId="{EDABB143-B9DB-483D-B88A-EA1A7C97F2FB}"/>
    <dgm:cxn modelId="{1276909F-717A-4936-9A49-AE70815D49BA}" srcId="{C3385121-D486-4264-9057-78CD3FFD23D0}" destId="{A084BB25-B85F-45DF-93A4-43A98F03328F}" srcOrd="2" destOrd="0" parTransId="{BF5783D8-BDB1-4B0D-B6A3-EF7EBC3DEB95}" sibTransId="{17CA559A-CF89-4974-AE19-280A3F40EC52}"/>
    <dgm:cxn modelId="{22C086A0-ED27-49F4-9E5E-65830C4FF7FA}" type="presOf" srcId="{16276157-D825-4E9B-BA36-42E1BE8D5152}" destId="{DAC7E64F-903F-47C8-8E18-BCC38F6AB97F}" srcOrd="0" destOrd="2" presId="urn:microsoft.com/office/officeart/2005/8/layout/lProcess2"/>
    <dgm:cxn modelId="{A26189A3-BF73-4F0F-9A38-8B1C9211F6BB}" srcId="{9D2B4091-6EAA-47A3-8A31-051E1588AF7E}" destId="{339C9ED6-130B-4372-950E-655BC3DAEB2A}" srcOrd="0" destOrd="0" parTransId="{656D292B-8815-4EAD-AFB3-55020B6C5378}" sibTransId="{5F174F21-7994-4D67-A9C7-E893C058354D}"/>
    <dgm:cxn modelId="{1310D1AB-047B-4385-9CC7-F1D51015783D}" type="presOf" srcId="{9047A9BD-F6F6-4786-84E3-225DD61D67F8}" destId="{6AD058DF-F419-402E-BFBD-D2DF903F5BC6}" srcOrd="0" destOrd="3" presId="urn:microsoft.com/office/officeart/2005/8/layout/lProcess2"/>
    <dgm:cxn modelId="{357E6EB7-D301-443A-BCC9-FD431A228981}" type="presOf" srcId="{52219F1B-D078-44C9-9998-DA1F0B240F41}" destId="{6AD058DF-F419-402E-BFBD-D2DF903F5BC6}" srcOrd="0" destOrd="1" presId="urn:microsoft.com/office/officeart/2005/8/layout/lProcess2"/>
    <dgm:cxn modelId="{20E9C0C5-011E-4F44-A903-AEEBBBAD7DC6}" srcId="{3395D3A0-CE57-4FCC-AF4B-D39E253C4C19}" destId="{2D244C98-E6F6-4BF6-8653-608684CC77EB}" srcOrd="2" destOrd="0" parTransId="{FC33B9B9-DDBD-4CE5-B52D-56BE07CBEA5C}" sibTransId="{E8CAD384-2570-4645-928A-CA6FE8C20004}"/>
    <dgm:cxn modelId="{190C6ACA-C499-4160-BCB5-77398E4A6DD0}" type="presOf" srcId="{8DE42A7C-C39C-4218-867D-B28ACD924A4A}" destId="{356246FB-9EAC-4D20-9F6F-14858B26B814}" srcOrd="0" destOrd="2" presId="urn:microsoft.com/office/officeart/2005/8/layout/lProcess2"/>
    <dgm:cxn modelId="{D0A6F1CD-E78F-4B1A-9FAF-E01BA5DE6CFA}" type="presOf" srcId="{64BF9817-2B00-494B-9E36-0DA366E22EBC}" destId="{4C018936-B74C-48B5-8B39-C532DDDD5B30}" srcOrd="0" destOrd="0" presId="urn:microsoft.com/office/officeart/2005/8/layout/lProcess2"/>
    <dgm:cxn modelId="{B5BA49CE-C556-4EAF-80A6-25739F387800}" type="presOf" srcId="{339C9ED6-130B-4372-950E-655BC3DAEB2A}" destId="{43CC9687-7CA9-406A-8C2F-5F5147A949F1}" srcOrd="0" destOrd="0" presId="urn:microsoft.com/office/officeart/2005/8/layout/lProcess2"/>
    <dgm:cxn modelId="{9EBD44D3-117C-4D7D-B313-8D3BBCBCE7F3}" srcId="{BAEC551B-B890-4F90-A706-4E387EF27FC2}" destId="{8DE42A7C-C39C-4218-867D-B28ACD924A4A}" srcOrd="1" destOrd="0" parTransId="{5B10808B-4C80-4F0B-A67C-40422D5BEAC8}" sibTransId="{B377F9E2-8163-4EAA-AAEE-B25DAD81FD48}"/>
    <dgm:cxn modelId="{80F58AD4-91CF-43C1-916A-8CE49CF94E77}" type="presOf" srcId="{E883FCD9-20B5-4808-9F5D-2AACBBAC2585}" destId="{6AD058DF-F419-402E-BFBD-D2DF903F5BC6}" srcOrd="0" destOrd="0" presId="urn:microsoft.com/office/officeart/2005/8/layout/lProcess2"/>
    <dgm:cxn modelId="{9F99D9DF-065E-4734-9F4F-3829D8B8191A}" srcId="{339C9ED6-130B-4372-950E-655BC3DAEB2A}" destId="{F14770A3-A96A-4940-A53F-A8727CBB01BD}" srcOrd="1" destOrd="0" parTransId="{9834DCAE-DADA-42FA-A5EE-F09D6B41FBBA}" sibTransId="{C4F45127-1B90-4C6D-BDAC-F58941636DDB}"/>
    <dgm:cxn modelId="{9A10F6E2-9603-48E4-AE3E-8E7B1AE3A1C4}" srcId="{64BF9817-2B00-494B-9E36-0DA366E22EBC}" destId="{E883FCD9-20B5-4808-9F5D-2AACBBAC2585}" srcOrd="0" destOrd="0" parTransId="{A27935A1-A4E8-4785-AA8E-B0844742D7BF}" sibTransId="{9C452208-DF44-4371-895C-1C322C1ACCA3}"/>
    <dgm:cxn modelId="{158DFFE4-5387-4F16-A2DB-FAFACD14B7B9}" type="presOf" srcId="{D0DBA956-8187-4C2B-9637-F6426FF5ACCA}" destId="{5ABE6837-6DF4-4C5C-B51C-01B9D44C46A9}" srcOrd="0" destOrd="0" presId="urn:microsoft.com/office/officeart/2005/8/layout/lProcess2"/>
    <dgm:cxn modelId="{F5C3CFE6-AF22-49E4-86A7-BDA4B6608932}" type="presOf" srcId="{9D2B4091-6EAA-47A3-8A31-051E1588AF7E}" destId="{2474AF4F-10C8-454A-A86F-E2C20CEE0338}" srcOrd="0" destOrd="0" presId="urn:microsoft.com/office/officeart/2005/8/layout/lProcess2"/>
    <dgm:cxn modelId="{57EFD0E8-2DC7-4E3F-AC4D-0207B082390C}" type="presOf" srcId="{721BE29D-CC45-4EDA-81D4-B6B760F2E09C}" destId="{43CC9687-7CA9-406A-8C2F-5F5147A949F1}" srcOrd="0" destOrd="3" presId="urn:microsoft.com/office/officeart/2005/8/layout/lProcess2"/>
    <dgm:cxn modelId="{81F00FF0-4322-40A9-9FF2-72C970509AFE}" srcId="{E883FCD9-20B5-4808-9F5D-2AACBBAC2585}" destId="{52219F1B-D078-44C9-9998-DA1F0B240F41}" srcOrd="0" destOrd="0" parTransId="{B3BFE75A-EB50-44EC-BF58-EABCAF2D7F37}" sibTransId="{43DA6B84-C767-4185-BF83-41A4EAE1F464}"/>
    <dgm:cxn modelId="{2674F5F0-3F13-45FF-9EC8-D5A1E72FF41E}" srcId="{BAEC551B-B890-4F90-A706-4E387EF27FC2}" destId="{240CE1FE-497B-4BFE-BC89-2CF927F55AAB}" srcOrd="0" destOrd="0" parTransId="{24DE24F0-1E80-4C2F-AFA5-68082C1E7E64}" sibTransId="{1ADDF3FE-19BD-4985-865E-64C5D5C79D34}"/>
    <dgm:cxn modelId="{413C34FE-C928-4E4B-A36E-4C8E85F934D7}" type="presOf" srcId="{64BF9817-2B00-494B-9E36-0DA366E22EBC}" destId="{E42A1BC1-D5BC-4CDA-8E4F-0AA224A28DA2}" srcOrd="1" destOrd="0" presId="urn:microsoft.com/office/officeart/2005/8/layout/lProcess2"/>
    <dgm:cxn modelId="{28A067A9-6850-45C5-9501-765FCAA0489D}" type="presParOf" srcId="{E9AF94C7-7C26-40FE-8672-88A736DFD6E6}" destId="{0C3000D7-1528-4797-82A2-07AB18CDF612}" srcOrd="0" destOrd="0" presId="urn:microsoft.com/office/officeart/2005/8/layout/lProcess2"/>
    <dgm:cxn modelId="{0A0A7A40-561B-41A6-91B7-0760313AB873}" type="presParOf" srcId="{0C3000D7-1528-4797-82A2-07AB18CDF612}" destId="{39614C59-D665-42C3-B95B-03891609ACD8}" srcOrd="0" destOrd="0" presId="urn:microsoft.com/office/officeart/2005/8/layout/lProcess2"/>
    <dgm:cxn modelId="{D5537EA6-3E63-413F-9DC8-6A7399DD876D}" type="presParOf" srcId="{0C3000D7-1528-4797-82A2-07AB18CDF612}" destId="{EF3B9ED8-BAB3-48AC-AAC9-B9DC562E5E1D}" srcOrd="1" destOrd="0" presId="urn:microsoft.com/office/officeart/2005/8/layout/lProcess2"/>
    <dgm:cxn modelId="{3597A0C0-D2D2-4668-BF2F-2E1734799B65}" type="presParOf" srcId="{0C3000D7-1528-4797-82A2-07AB18CDF612}" destId="{F7C54A38-8971-452B-A254-F582B25A48FC}" srcOrd="2" destOrd="0" presId="urn:microsoft.com/office/officeart/2005/8/layout/lProcess2"/>
    <dgm:cxn modelId="{9BE2512C-A2B5-4F75-8D47-93DE45471C66}" type="presParOf" srcId="{F7C54A38-8971-452B-A254-F582B25A48FC}" destId="{B22CE92E-958A-46AA-8523-F6AAD891B5DD}" srcOrd="0" destOrd="0" presId="urn:microsoft.com/office/officeart/2005/8/layout/lProcess2"/>
    <dgm:cxn modelId="{AAC470EF-C482-4933-A14B-66E8F3FE6C81}" type="presParOf" srcId="{B22CE92E-958A-46AA-8523-F6AAD891B5DD}" destId="{B714E7B5-0B67-4926-B8F0-F100BB4E6BBC}" srcOrd="0" destOrd="0" presId="urn:microsoft.com/office/officeart/2005/8/layout/lProcess2"/>
    <dgm:cxn modelId="{89E96ABB-B555-4C9A-B00D-9048584C3290}" type="presParOf" srcId="{B22CE92E-958A-46AA-8523-F6AAD891B5DD}" destId="{8470A1DE-7767-413B-844E-752DAB526BC7}" srcOrd="1" destOrd="0" presId="urn:microsoft.com/office/officeart/2005/8/layout/lProcess2"/>
    <dgm:cxn modelId="{3783E5AC-1533-460B-B023-1FC6147DF1F2}" type="presParOf" srcId="{B22CE92E-958A-46AA-8523-F6AAD891B5DD}" destId="{5ABE6837-6DF4-4C5C-B51C-01B9D44C46A9}" srcOrd="2" destOrd="0" presId="urn:microsoft.com/office/officeart/2005/8/layout/lProcess2"/>
    <dgm:cxn modelId="{D95843CA-856F-43A8-9503-A2A24EB8CB45}" type="presParOf" srcId="{B22CE92E-958A-46AA-8523-F6AAD891B5DD}" destId="{CC63F177-10E4-4061-9990-851579F0CA3F}" srcOrd="3" destOrd="0" presId="urn:microsoft.com/office/officeart/2005/8/layout/lProcess2"/>
    <dgm:cxn modelId="{21492780-2684-4112-9D12-75E89E3EBFF5}" type="presParOf" srcId="{B22CE92E-958A-46AA-8523-F6AAD891B5DD}" destId="{AFB50A9E-EA6F-40C0-B5A9-E2E44497A165}" srcOrd="4" destOrd="0" presId="urn:microsoft.com/office/officeart/2005/8/layout/lProcess2"/>
    <dgm:cxn modelId="{EBD620FE-FD3F-4B73-A34C-649A1CC94702}" type="presParOf" srcId="{E9AF94C7-7C26-40FE-8672-88A736DFD6E6}" destId="{51C538ED-68A9-43AC-AD81-3EC24EB40781}" srcOrd="1" destOrd="0" presId="urn:microsoft.com/office/officeart/2005/8/layout/lProcess2"/>
    <dgm:cxn modelId="{F8A95B92-8BCB-48BC-B667-1DFF38E9680F}" type="presParOf" srcId="{E9AF94C7-7C26-40FE-8672-88A736DFD6E6}" destId="{42E6236F-0040-4295-B33A-F7960771AAB1}" srcOrd="2" destOrd="0" presId="urn:microsoft.com/office/officeart/2005/8/layout/lProcess2"/>
    <dgm:cxn modelId="{908D1ADD-3CE3-4CEA-A09F-E40E6AAEFECB}" type="presParOf" srcId="{42E6236F-0040-4295-B33A-F7960771AAB1}" destId="{4C018936-B74C-48B5-8B39-C532DDDD5B30}" srcOrd="0" destOrd="0" presId="urn:microsoft.com/office/officeart/2005/8/layout/lProcess2"/>
    <dgm:cxn modelId="{35481D13-4EDB-4653-A827-706C1177FB03}" type="presParOf" srcId="{42E6236F-0040-4295-B33A-F7960771AAB1}" destId="{E42A1BC1-D5BC-4CDA-8E4F-0AA224A28DA2}" srcOrd="1" destOrd="0" presId="urn:microsoft.com/office/officeart/2005/8/layout/lProcess2"/>
    <dgm:cxn modelId="{1DF3C559-2921-47A4-8FCD-36C981C0648E}" type="presParOf" srcId="{42E6236F-0040-4295-B33A-F7960771AAB1}" destId="{A6B0BC38-A64B-4252-BE38-24F6E010CC82}" srcOrd="2" destOrd="0" presId="urn:microsoft.com/office/officeart/2005/8/layout/lProcess2"/>
    <dgm:cxn modelId="{484D172F-49CD-4EEF-81D5-75EA08026E34}" type="presParOf" srcId="{A6B0BC38-A64B-4252-BE38-24F6E010CC82}" destId="{10740653-191F-41A1-9A57-01C1073D63DB}" srcOrd="0" destOrd="0" presId="urn:microsoft.com/office/officeart/2005/8/layout/lProcess2"/>
    <dgm:cxn modelId="{B0603EF0-E4CD-4FC2-93DC-8C3936BC437C}" type="presParOf" srcId="{10740653-191F-41A1-9A57-01C1073D63DB}" destId="{6AD058DF-F419-402E-BFBD-D2DF903F5BC6}" srcOrd="0" destOrd="0" presId="urn:microsoft.com/office/officeart/2005/8/layout/lProcess2"/>
    <dgm:cxn modelId="{D2BABF6A-8546-4ED7-9E0B-3031FB33FF6E}" type="presParOf" srcId="{10740653-191F-41A1-9A57-01C1073D63DB}" destId="{912FCF09-D0CA-40DF-B807-0FD4EFCA7567}" srcOrd="1" destOrd="0" presId="urn:microsoft.com/office/officeart/2005/8/layout/lProcess2"/>
    <dgm:cxn modelId="{8A4CE9D9-C360-4862-8AF6-2A6018712EA2}" type="presParOf" srcId="{10740653-191F-41A1-9A57-01C1073D63DB}" destId="{DAC7E64F-903F-47C8-8E18-BCC38F6AB97F}" srcOrd="2" destOrd="0" presId="urn:microsoft.com/office/officeart/2005/8/layout/lProcess2"/>
    <dgm:cxn modelId="{836C5811-6A6A-4BA3-908C-3DE34EAC41CB}" type="presParOf" srcId="{E9AF94C7-7C26-40FE-8672-88A736DFD6E6}" destId="{B8778D52-12F3-4E79-8FC9-6BD2BC826D85}" srcOrd="3" destOrd="0" presId="urn:microsoft.com/office/officeart/2005/8/layout/lProcess2"/>
    <dgm:cxn modelId="{0BBDB60C-BF8E-4550-87A8-86709523D5F2}" type="presParOf" srcId="{E9AF94C7-7C26-40FE-8672-88A736DFD6E6}" destId="{E7C84F12-B644-45FC-8F62-391DE929E4E2}" srcOrd="4" destOrd="0" presId="urn:microsoft.com/office/officeart/2005/8/layout/lProcess2"/>
    <dgm:cxn modelId="{14D28F5A-756D-4107-B625-F6BAAABAA0E7}" type="presParOf" srcId="{E7C84F12-B644-45FC-8F62-391DE929E4E2}" destId="{2474AF4F-10C8-454A-A86F-E2C20CEE0338}" srcOrd="0" destOrd="0" presId="urn:microsoft.com/office/officeart/2005/8/layout/lProcess2"/>
    <dgm:cxn modelId="{3DC0A0A8-2987-41E9-938A-F8927FBEA035}" type="presParOf" srcId="{E7C84F12-B644-45FC-8F62-391DE929E4E2}" destId="{B70D2EBA-A387-4E39-9A64-E2ECD3932B42}" srcOrd="1" destOrd="0" presId="urn:microsoft.com/office/officeart/2005/8/layout/lProcess2"/>
    <dgm:cxn modelId="{5A1CBF03-972C-468A-B40A-2694A11D2DD1}" type="presParOf" srcId="{E7C84F12-B644-45FC-8F62-391DE929E4E2}" destId="{6F741548-6F80-4B00-9083-AF8C03DC792C}" srcOrd="2" destOrd="0" presId="urn:microsoft.com/office/officeart/2005/8/layout/lProcess2"/>
    <dgm:cxn modelId="{6954399F-08AC-4926-8708-44376DCBB33C}" type="presParOf" srcId="{6F741548-6F80-4B00-9083-AF8C03DC792C}" destId="{BF57A291-77C0-4B10-96C8-172F17D40480}" srcOrd="0" destOrd="0" presId="urn:microsoft.com/office/officeart/2005/8/layout/lProcess2"/>
    <dgm:cxn modelId="{23E9E9F9-3FDC-4A12-B0A6-B39765E18F88}" type="presParOf" srcId="{BF57A291-77C0-4B10-96C8-172F17D40480}" destId="{43CC9687-7CA9-406A-8C2F-5F5147A949F1}" srcOrd="0" destOrd="0" presId="urn:microsoft.com/office/officeart/2005/8/layout/lProcess2"/>
    <dgm:cxn modelId="{84B38153-E6F6-4BA9-A169-20D97125A9A8}" type="presParOf" srcId="{BF57A291-77C0-4B10-96C8-172F17D40480}" destId="{6BA417BF-8479-4D2A-9550-8AE264046348}" srcOrd="1" destOrd="0" presId="urn:microsoft.com/office/officeart/2005/8/layout/lProcess2"/>
    <dgm:cxn modelId="{9F248169-48F9-44B5-B6FB-CA464446ED11}" type="presParOf" srcId="{BF57A291-77C0-4B10-96C8-172F17D40480}" destId="{356246FB-9EAC-4D20-9F6F-14858B26B814}" srcOrd="2" destOrd="0" presId="urn:microsoft.com/office/officeart/2005/8/layout/lProcess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614C59-D665-42C3-B95B-03891609ACD8}">
      <dsp:nvSpPr>
        <dsp:cNvPr id="0" name=""/>
        <dsp:cNvSpPr/>
      </dsp:nvSpPr>
      <dsp:spPr>
        <a:xfrm>
          <a:off x="747" y="0"/>
          <a:ext cx="1942382" cy="34200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0" lvl="0" indent="0" algn="ctr" defTabSz="1200150">
            <a:lnSpc>
              <a:spcPct val="90000"/>
            </a:lnSpc>
            <a:spcBef>
              <a:spcPct val="0"/>
            </a:spcBef>
            <a:spcAft>
              <a:spcPct val="35000"/>
            </a:spcAft>
            <a:buNone/>
          </a:pPr>
          <a:r>
            <a:rPr lang="en-AU" sz="2700" kern="1200"/>
            <a:t>Skill Issues</a:t>
          </a:r>
        </a:p>
      </dsp:txBody>
      <dsp:txXfrm>
        <a:off x="747" y="0"/>
        <a:ext cx="1942382" cy="1026000"/>
      </dsp:txXfrm>
    </dsp:sp>
    <dsp:sp modelId="{B714E7B5-0B67-4926-B8F0-F100BB4E6BBC}">
      <dsp:nvSpPr>
        <dsp:cNvPr id="0" name=""/>
        <dsp:cNvSpPr/>
      </dsp:nvSpPr>
      <dsp:spPr>
        <a:xfrm>
          <a:off x="194985" y="1026292"/>
          <a:ext cx="1553906" cy="67189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SzPts val="1000"/>
            <a:buFont typeface="Symbol" panose="05050102010706020507" pitchFamily="18" charset="2"/>
            <a:buNone/>
          </a:pPr>
          <a:r>
            <a:rPr lang="en-AU" sz="1100" kern="1200"/>
            <a:t>Accessing appropriate training</a:t>
          </a:r>
        </a:p>
      </dsp:txBody>
      <dsp:txXfrm>
        <a:off x="214664" y="1045971"/>
        <a:ext cx="1514548" cy="632535"/>
      </dsp:txXfrm>
    </dsp:sp>
    <dsp:sp modelId="{5ABE6837-6DF4-4C5C-B51C-01B9D44C46A9}">
      <dsp:nvSpPr>
        <dsp:cNvPr id="0" name=""/>
        <dsp:cNvSpPr/>
      </dsp:nvSpPr>
      <dsp:spPr>
        <a:xfrm>
          <a:off x="194985" y="1801553"/>
          <a:ext cx="1553906" cy="67189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SzPts val="1000"/>
            <a:buFont typeface="Symbol" panose="05050102010706020507" pitchFamily="18" charset="2"/>
            <a:buNone/>
          </a:pPr>
          <a:r>
            <a:rPr lang="en-AU" sz="1100" kern="1200"/>
            <a:t>Identifying suitable training</a:t>
          </a:r>
        </a:p>
      </dsp:txBody>
      <dsp:txXfrm>
        <a:off x="214664" y="1821232"/>
        <a:ext cx="1514548" cy="632535"/>
      </dsp:txXfrm>
    </dsp:sp>
    <dsp:sp modelId="{AFB50A9E-EA6F-40C0-B5A9-E2E44497A165}">
      <dsp:nvSpPr>
        <dsp:cNvPr id="0" name=""/>
        <dsp:cNvSpPr/>
      </dsp:nvSpPr>
      <dsp:spPr>
        <a:xfrm>
          <a:off x="194985" y="2576814"/>
          <a:ext cx="1553906" cy="67189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AU" sz="1100" kern="1200"/>
            <a:t>Releasing employees to undertake training</a:t>
          </a:r>
        </a:p>
      </dsp:txBody>
      <dsp:txXfrm>
        <a:off x="214664" y="2596493"/>
        <a:ext cx="1514548" cy="632535"/>
      </dsp:txXfrm>
    </dsp:sp>
    <dsp:sp modelId="{4C018936-B74C-48B5-8B39-C532DDDD5B30}">
      <dsp:nvSpPr>
        <dsp:cNvPr id="0" name=""/>
        <dsp:cNvSpPr/>
      </dsp:nvSpPr>
      <dsp:spPr>
        <a:xfrm>
          <a:off x="2088808" y="0"/>
          <a:ext cx="1942382" cy="34200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0" lvl="0" indent="0" algn="ctr" defTabSz="1200150">
            <a:lnSpc>
              <a:spcPct val="90000"/>
            </a:lnSpc>
            <a:spcBef>
              <a:spcPct val="0"/>
            </a:spcBef>
            <a:spcAft>
              <a:spcPct val="35000"/>
            </a:spcAft>
            <a:buNone/>
          </a:pPr>
          <a:r>
            <a:rPr lang="en-AU" sz="2700" kern="1200"/>
            <a:t>Recruitment Issues</a:t>
          </a:r>
        </a:p>
      </dsp:txBody>
      <dsp:txXfrm>
        <a:off x="2088808" y="0"/>
        <a:ext cx="1942382" cy="1026000"/>
      </dsp:txXfrm>
    </dsp:sp>
    <dsp:sp modelId="{6AD058DF-F419-402E-BFBD-D2DF903F5BC6}">
      <dsp:nvSpPr>
        <dsp:cNvPr id="0" name=""/>
        <dsp:cNvSpPr/>
      </dsp:nvSpPr>
      <dsp:spPr>
        <a:xfrm>
          <a:off x="2283046" y="1027001"/>
          <a:ext cx="1553906" cy="103117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t" anchorCtr="0">
          <a:noAutofit/>
        </a:bodyPr>
        <a:lstStyle/>
        <a:p>
          <a:pPr marL="0" lvl="0" indent="0" algn="l" defTabSz="488950">
            <a:lnSpc>
              <a:spcPct val="90000"/>
            </a:lnSpc>
            <a:spcBef>
              <a:spcPct val="0"/>
            </a:spcBef>
            <a:spcAft>
              <a:spcPct val="35000"/>
            </a:spcAft>
            <a:buNone/>
          </a:pPr>
          <a:r>
            <a:rPr lang="en-AU" sz="1100" kern="1200"/>
            <a:t>Occupations hardest to recruit:</a:t>
          </a:r>
        </a:p>
        <a:p>
          <a:pPr marL="57150" lvl="1" indent="-57150" algn="l" defTabSz="400050">
            <a:lnSpc>
              <a:spcPct val="90000"/>
            </a:lnSpc>
            <a:spcBef>
              <a:spcPct val="0"/>
            </a:spcBef>
            <a:spcAft>
              <a:spcPct val="15000"/>
            </a:spcAft>
            <a:buSzPts val="1000"/>
            <a:buFont typeface="Symbol" panose="05050102010706020507" pitchFamily="18" charset="2"/>
            <a:buChar char=""/>
          </a:pPr>
          <a:r>
            <a:rPr lang="en-AU" sz="900" kern="1200"/>
            <a:t>Managers</a:t>
          </a:r>
        </a:p>
        <a:p>
          <a:pPr marL="57150" lvl="1" indent="-57150" algn="l" defTabSz="400050">
            <a:lnSpc>
              <a:spcPct val="90000"/>
            </a:lnSpc>
            <a:spcBef>
              <a:spcPct val="0"/>
            </a:spcBef>
            <a:spcAft>
              <a:spcPct val="15000"/>
            </a:spcAft>
            <a:buSzPts val="1000"/>
            <a:buFont typeface="Symbol" panose="05050102010706020507" pitchFamily="18" charset="2"/>
            <a:buChar char=""/>
          </a:pPr>
          <a:r>
            <a:rPr lang="en-AU" sz="900" kern="1200"/>
            <a:t>Professionals</a:t>
          </a:r>
        </a:p>
        <a:p>
          <a:pPr marL="57150" lvl="1" indent="-57150" algn="l" defTabSz="400050">
            <a:lnSpc>
              <a:spcPct val="90000"/>
            </a:lnSpc>
            <a:spcBef>
              <a:spcPct val="0"/>
            </a:spcBef>
            <a:spcAft>
              <a:spcPct val="15000"/>
            </a:spcAft>
            <a:buChar char="•"/>
          </a:pPr>
          <a:r>
            <a:rPr lang="en-AU" sz="900" kern="1200"/>
            <a:t>Technicians and Trades Workers</a:t>
          </a:r>
        </a:p>
      </dsp:txBody>
      <dsp:txXfrm>
        <a:off x="2313248" y="1057203"/>
        <a:ext cx="1493502" cy="970772"/>
      </dsp:txXfrm>
    </dsp:sp>
    <dsp:sp modelId="{DAC7E64F-903F-47C8-8E18-BCC38F6AB97F}">
      <dsp:nvSpPr>
        <dsp:cNvPr id="0" name=""/>
        <dsp:cNvSpPr/>
      </dsp:nvSpPr>
      <dsp:spPr>
        <a:xfrm>
          <a:off x="2283046" y="2216821"/>
          <a:ext cx="1553906" cy="103117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t" anchorCtr="0">
          <a:noAutofit/>
        </a:bodyPr>
        <a:lstStyle/>
        <a:p>
          <a:pPr marL="0" lvl="0" indent="0" algn="l" defTabSz="488950">
            <a:lnSpc>
              <a:spcPct val="90000"/>
            </a:lnSpc>
            <a:spcBef>
              <a:spcPct val="0"/>
            </a:spcBef>
            <a:spcAft>
              <a:spcPct val="35000"/>
            </a:spcAft>
            <a:buNone/>
          </a:pPr>
          <a:r>
            <a:rPr lang="en-AU" sz="1100" kern="1200"/>
            <a:t>Top reasons for recruitment difficulties:</a:t>
          </a:r>
        </a:p>
        <a:p>
          <a:pPr marL="57150" lvl="1" indent="-57150" algn="l" defTabSz="400050">
            <a:lnSpc>
              <a:spcPct val="90000"/>
            </a:lnSpc>
            <a:spcBef>
              <a:spcPct val="0"/>
            </a:spcBef>
            <a:spcAft>
              <a:spcPct val="15000"/>
            </a:spcAft>
            <a:buSzPts val="1000"/>
            <a:buFont typeface="Symbol" panose="05050102010706020507" pitchFamily="18" charset="2"/>
            <a:buChar char=""/>
          </a:pPr>
          <a:r>
            <a:rPr lang="en-AU" sz="900" kern="1200"/>
            <a:t>Lack of skilled and experienced applicants.</a:t>
          </a:r>
        </a:p>
        <a:p>
          <a:pPr marL="57150" lvl="1" indent="-57150" algn="l" defTabSz="400050">
            <a:lnSpc>
              <a:spcPct val="90000"/>
            </a:lnSpc>
            <a:spcBef>
              <a:spcPct val="0"/>
            </a:spcBef>
            <a:spcAft>
              <a:spcPct val="15000"/>
            </a:spcAft>
            <a:buSzPts val="1000"/>
            <a:buFont typeface="Symbol" panose="05050102010706020507" pitchFamily="18" charset="2"/>
            <a:buChar char=""/>
          </a:pPr>
          <a:r>
            <a:rPr lang="en-AU" sz="900" kern="1200"/>
            <a:t>Lack of applicants generally</a:t>
          </a:r>
        </a:p>
        <a:p>
          <a:pPr marL="57150" lvl="1" indent="-57150" algn="l" defTabSz="400050">
            <a:lnSpc>
              <a:spcPct val="90000"/>
            </a:lnSpc>
            <a:spcBef>
              <a:spcPct val="0"/>
            </a:spcBef>
            <a:spcAft>
              <a:spcPct val="15000"/>
            </a:spcAft>
            <a:buChar char="•"/>
          </a:pPr>
          <a:r>
            <a:rPr lang="en-AU" sz="900" kern="1200"/>
            <a:t>Salary levels offered</a:t>
          </a:r>
        </a:p>
      </dsp:txBody>
      <dsp:txXfrm>
        <a:off x="2313248" y="2247023"/>
        <a:ext cx="1493502" cy="970772"/>
      </dsp:txXfrm>
    </dsp:sp>
    <dsp:sp modelId="{2474AF4F-10C8-454A-A86F-E2C20CEE0338}">
      <dsp:nvSpPr>
        <dsp:cNvPr id="0" name=""/>
        <dsp:cNvSpPr/>
      </dsp:nvSpPr>
      <dsp:spPr>
        <a:xfrm>
          <a:off x="4176870" y="0"/>
          <a:ext cx="1942382" cy="34200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0" lvl="0" indent="0" algn="ctr" defTabSz="1200150">
            <a:lnSpc>
              <a:spcPct val="90000"/>
            </a:lnSpc>
            <a:spcBef>
              <a:spcPct val="0"/>
            </a:spcBef>
            <a:spcAft>
              <a:spcPct val="35000"/>
            </a:spcAft>
            <a:buNone/>
          </a:pPr>
          <a:r>
            <a:rPr lang="en-AU" sz="2700" kern="1200"/>
            <a:t>Retention Issues</a:t>
          </a:r>
        </a:p>
      </dsp:txBody>
      <dsp:txXfrm>
        <a:off x="4176870" y="0"/>
        <a:ext cx="1942382" cy="1026000"/>
      </dsp:txXfrm>
    </dsp:sp>
    <dsp:sp modelId="{43CC9687-7CA9-406A-8C2F-5F5147A949F1}">
      <dsp:nvSpPr>
        <dsp:cNvPr id="0" name=""/>
        <dsp:cNvSpPr/>
      </dsp:nvSpPr>
      <dsp:spPr>
        <a:xfrm>
          <a:off x="4371108" y="1027001"/>
          <a:ext cx="1553906" cy="103117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t" anchorCtr="0">
          <a:noAutofit/>
        </a:bodyPr>
        <a:lstStyle/>
        <a:p>
          <a:pPr marL="0" lvl="0" indent="0" algn="l" defTabSz="488950">
            <a:lnSpc>
              <a:spcPct val="90000"/>
            </a:lnSpc>
            <a:spcBef>
              <a:spcPct val="0"/>
            </a:spcBef>
            <a:spcAft>
              <a:spcPct val="35000"/>
            </a:spcAft>
            <a:buNone/>
          </a:pPr>
          <a:r>
            <a:rPr lang="en-AU" sz="1100" kern="1200"/>
            <a:t>Occupations hardest to retain:</a:t>
          </a:r>
        </a:p>
        <a:p>
          <a:pPr marL="57150" lvl="1" indent="-57150" algn="l" defTabSz="400050">
            <a:lnSpc>
              <a:spcPct val="90000"/>
            </a:lnSpc>
            <a:spcBef>
              <a:spcPct val="0"/>
            </a:spcBef>
            <a:spcAft>
              <a:spcPct val="15000"/>
            </a:spcAft>
            <a:buSzPts val="1000"/>
            <a:buFont typeface="Symbol" panose="05050102010706020507" pitchFamily="18" charset="2"/>
            <a:buChar char=""/>
          </a:pPr>
          <a:r>
            <a:rPr lang="en-AU" sz="900" kern="1200"/>
            <a:t>Professionals</a:t>
          </a:r>
        </a:p>
        <a:p>
          <a:pPr marL="57150" lvl="1" indent="-57150" algn="l" defTabSz="400050">
            <a:lnSpc>
              <a:spcPct val="90000"/>
            </a:lnSpc>
            <a:spcBef>
              <a:spcPct val="0"/>
            </a:spcBef>
            <a:spcAft>
              <a:spcPct val="15000"/>
            </a:spcAft>
            <a:buSzPts val="1000"/>
            <a:buFont typeface="Symbol" panose="05050102010706020507" pitchFamily="18" charset="2"/>
            <a:buChar char=""/>
          </a:pPr>
          <a:r>
            <a:rPr lang="en-AU" sz="900" kern="1200"/>
            <a:t>Technicians and Trades Workers</a:t>
          </a:r>
        </a:p>
        <a:p>
          <a:pPr marL="57150" lvl="1" indent="-57150" algn="l" defTabSz="400050">
            <a:lnSpc>
              <a:spcPct val="90000"/>
            </a:lnSpc>
            <a:spcBef>
              <a:spcPct val="0"/>
            </a:spcBef>
            <a:spcAft>
              <a:spcPct val="15000"/>
            </a:spcAft>
            <a:buSzPts val="1000"/>
            <a:buFont typeface="Symbol" panose="05050102010706020507" pitchFamily="18" charset="2"/>
            <a:buChar char=""/>
          </a:pPr>
          <a:r>
            <a:rPr lang="en-AU" sz="900" kern="1200"/>
            <a:t>Managers</a:t>
          </a:r>
        </a:p>
      </dsp:txBody>
      <dsp:txXfrm>
        <a:off x="4401310" y="1057203"/>
        <a:ext cx="1493502" cy="970772"/>
      </dsp:txXfrm>
    </dsp:sp>
    <dsp:sp modelId="{356246FB-9EAC-4D20-9F6F-14858B26B814}">
      <dsp:nvSpPr>
        <dsp:cNvPr id="0" name=""/>
        <dsp:cNvSpPr/>
      </dsp:nvSpPr>
      <dsp:spPr>
        <a:xfrm>
          <a:off x="4371108" y="2216821"/>
          <a:ext cx="1553906" cy="103117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t" anchorCtr="0">
          <a:noAutofit/>
        </a:bodyPr>
        <a:lstStyle/>
        <a:p>
          <a:pPr marL="0" lvl="0" indent="0" algn="l" defTabSz="488950">
            <a:lnSpc>
              <a:spcPct val="90000"/>
            </a:lnSpc>
            <a:spcBef>
              <a:spcPct val="0"/>
            </a:spcBef>
            <a:spcAft>
              <a:spcPct val="35000"/>
            </a:spcAft>
            <a:buNone/>
          </a:pPr>
          <a:r>
            <a:rPr lang="en-AU" sz="1100" kern="1200"/>
            <a:t>Top reasons for retention difficulties:</a:t>
          </a:r>
        </a:p>
        <a:p>
          <a:pPr marL="57150" lvl="1" indent="-57150" algn="l" defTabSz="400050">
            <a:lnSpc>
              <a:spcPct val="90000"/>
            </a:lnSpc>
            <a:spcBef>
              <a:spcPct val="0"/>
            </a:spcBef>
            <a:spcAft>
              <a:spcPct val="15000"/>
            </a:spcAft>
            <a:buSzPts val="1000"/>
            <a:buFont typeface="Symbol" panose="05050102010706020507" pitchFamily="18" charset="2"/>
            <a:buChar char=""/>
          </a:pPr>
          <a:r>
            <a:rPr lang="en-AU" sz="900" kern="1200"/>
            <a:t>Salary levels offered</a:t>
          </a:r>
        </a:p>
        <a:p>
          <a:pPr marL="57150" lvl="1" indent="-57150" algn="l" defTabSz="400050">
            <a:lnSpc>
              <a:spcPct val="90000"/>
            </a:lnSpc>
            <a:spcBef>
              <a:spcPct val="0"/>
            </a:spcBef>
            <a:spcAft>
              <a:spcPct val="15000"/>
            </a:spcAft>
            <a:buChar char="•"/>
          </a:pPr>
          <a:r>
            <a:rPr lang="en-AU" sz="900" kern="1200"/>
            <a:t>Terms and conditions of employment</a:t>
          </a:r>
        </a:p>
      </dsp:txBody>
      <dsp:txXfrm>
        <a:off x="4401310" y="2247023"/>
        <a:ext cx="1493502" cy="970772"/>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Gre14</b:Tag>
    <b:SourceType>ElectronicSource</b:SourceType>
    <b:Guid>{20B0CC2A-FE3E-4B22-B30D-F1E81C7EC04F}</b:Guid>
    <b:Title>The Implementation of the NDIS: Who Wins, Who Loses</b:Title>
    <b:Year>2014</b:Year>
    <b:Author>
      <b:Author>
        <b:NameList>
          <b:Person>
            <b:Last>Green</b:Last>
            <b:First>J</b:First>
          </b:Person>
          <b:Person>
            <b:Last>Mears</b:Last>
            <b:First>J</b:First>
          </b:Person>
        </b:NameList>
      </b:Author>
    </b:Author>
    <b:RefOrder>1</b:RefOrder>
  </b:Source>
  <b:Source>
    <b:Tag>Tas15</b:Tag>
    <b:SourceType>ElectronicSource</b:SourceType>
    <b:Guid>{F3F55F2E-0186-4CDF-A119-9DEE8AA2FFE6}</b:Guid>
    <b:Author>
      <b:Author>
        <b:Corporate>Tasmanian Association of Community Housing Inc</b:Corporate>
      </b:Author>
    </b:Author>
    <b:Title>Workforce Development and Training Plan for Neighbourhood and Community Houses</b:Title>
    <b:Year>2014-15</b:Year>
    <b:RefOrder>2</b:RefOrder>
  </b:Source>
  <b:Source>
    <b:Tag>Nat</b:Tag>
    <b:SourceType>ElectronicSource</b:SourceType>
    <b:Guid>{874F8A7B-46D7-4A02-A9FF-5EFB6D504CEE}</b:Guid>
    <b:Author>
      <b:Author>
        <b:Corporate>National Centre for Vocational Education Research Ltd</b:Corporate>
      </b:Author>
    </b:Author>
    <b:Title>VOCSTATS</b:Title>
    <b:Year>2015</b:Year>
    <b:RefOrder>3</b:RefOrder>
  </b:Source>
  <b:Source>
    <b:Tag>Dep16</b:Tag>
    <b:SourceType>ElectronicSource</b:SourceType>
    <b:Guid>{E4D86CD8-89FB-48E8-AD84-0B321D58428F}</b:Guid>
    <b:Author>
      <b:Author>
        <b:Corporate>Department of State Growth</b:Corporate>
      </b:Author>
    </b:Author>
    <b:Title>Tasmanian State Migration Plan - Occupations List 2016-17</b:Title>
    <b:Year>2016</b:Year>
    <b:RefOrder>4</b:RefOrder>
  </b:Source>
  <b:Source>
    <b:Tag>She15</b:Tag>
    <b:SourceType>ElectronicSource</b:SourceType>
    <b:Guid>{4EE02AB5-B75C-44D3-B7E6-77F4ADE90DC6}</b:Guid>
    <b:Author>
      <b:Author>
        <b:Corporate>Shelter Tasmania Inc</b:Corporate>
      </b:Author>
    </b:Author>
    <b:Title>Specialist Homelessness Services Workforce Development Strategy</b:Title>
    <b:Year>2015</b:Year>
    <b:RefOrder>5</b:RefOrder>
  </b:Source>
  <b:Source>
    <b:Tag>Aus17</b:Tag>
    <b:SourceType>ElectronicSource</b:SourceType>
    <b:Guid>{6A025651-D2A7-4B58-9DB6-0843FFB306E0}</b:Guid>
    <b:Author>
      <b:Author>
        <b:Corporate>Australian Bureau of Statistics</b:Corporate>
      </b:Author>
    </b:Author>
    <b:Title>Labour Force, Australia</b:Title>
    <b:Year>2017</b:Year>
    <b:Month>January</b:Month>
    <b:RefOrder>6</b:RefOrder>
  </b:Source>
  <b:Source>
    <b:Tag>Aus14</b:Tag>
    <b:SourceType>ElectronicSource</b:SourceType>
    <b:Guid>{4BF32FFE-894B-42D7-AC57-032F0525553A}</b:Guid>
    <b:Title>General Social Survey</b:Title>
    <b:Year>2014</b:Year>
    <b:Author>
      <b:Author>
        <b:Corporate>Australian Bureau of Statistics</b:Corporate>
      </b:Author>
    </b:Author>
    <b:RefOrder>7</b:RefOrder>
  </b:Source>
  <b:Source>
    <b:Tag>ABS2011</b:Tag>
    <b:SourceType>ElectronicSource</b:SourceType>
    <b:Guid>{F5C8B1D9-ED92-472F-8ED9-23C60F019D4C}</b:Guid>
    <b:Author>
      <b:Author>
        <b:Corporate>Australian Bureau of Statistics</b:Corporate>
      </b:Author>
    </b:Author>
    <b:Title>Census of Population and Housing</b:Title>
    <b:Year>2011</b:Year>
    <b:RefOrder>8</b:RefOrder>
  </b:Source>
  <b:Source>
    <b:Tag>Dep</b:Tag>
    <b:SourceType>Report</b:SourceType>
    <b:Guid>{27D99C75-AE86-4925-8313-61B0964665E7}</b:Guid>
    <b:Author>
      <b:Author>
        <b:Corporate>Department of Immmigration and Border Security</b:Corporate>
      </b:Author>
    </b:Author>
    <b:Title>Subclass 457 quarterly report - quarter ending at 30 June 2016</b:Title>
    <b:Year>2016</b:Year>
    <b:RefOrder>9</b:RefOrder>
  </b:Source>
  <b:Source>
    <b:Tag>DeptEmpl</b:Tag>
    <b:SourceType>DocumentFromInternetSite</b:SourceType>
    <b:Guid>{521ECAC9-DF92-4B52-BC81-FA099D3D6E20}</b:Guid>
    <b:Title>Skill Shortage List - Tasmania</b:Title>
    <b:Year>2016</b:Year>
    <b:Author>
      <b:Author>
        <b:Corporate>Department of Employment</b:Corporate>
      </b:Author>
    </b:Author>
    <b:InternetSiteTitle>Department of Employment</b:InternetSiteTitle>
    <b:Month>August</b:Month>
    <b:URL>https://docs.employment.gov.au/documents/skill-shortage-list-tasmania</b:URL>
    <b:RefOrder>10</b:RefOrder>
  </b:Source>
  <b:Source>
    <b:Tag>Health16</b:Tag>
    <b:SourceType>Report</b:SourceType>
    <b:Guid>{55346533-8901-423B-A8A3-948574E36AF5}</b:Guid>
    <b:Author>
      <b:Author>
        <b:Corporate>Department of Health and Human Services</b:Corporate>
      </b:Author>
    </b:Author>
    <b:Title>Suicide Prevention Workforce Development and Training Plan for Tasmania (2016-2020)</b:Title>
    <b:Year>2016</b:Year>
    <b:RefOrder>11</b:RefOrder>
  </b:Source>
  <b:Source>
    <b:Tag>She16</b:Tag>
    <b:SourceType>Report</b:SourceType>
    <b:Guid>{459738E2-6241-468B-A09D-4368E54BF1B7}</b:Guid>
    <b:Author>
      <b:Author>
        <b:Corporate>Shelter Tasmania Inc.</b:Corporate>
      </b:Author>
    </b:Author>
    <b:Title>Workforce Development Strategy 2015-17, Interim Evaluation Report #7</b:Title>
    <b:Year>2016</b:Year>
    <b:RefOrder>12</b:RefOrder>
  </b:Source>
  <b:Source>
    <b:Tag>The16</b:Tag>
    <b:SourceType>Report</b:SourceType>
    <b:Guid>{9402171A-CA84-471F-A180-4AED8EED2D92}</b:Guid>
    <b:Author>
      <b:Author>
        <b:Corporate>University of Queensland</b:Corporate>
      </b:Author>
    </b:Author>
    <b:Title>The Economic Value of Informal Mental Health Caring in Australia: Summary Report</b:Title>
    <b:Year>2016</b:Year>
    <b:Publisher>School of Public Health</b:Publisher>
    <b:City>Brisbane</b:City>
    <b:RefOrder>13</b:RefOrder>
  </b:Source>
  <b:Source>
    <b:Tag>NDSt16</b:Tag>
    <b:SourceType>Report</b:SourceType>
    <b:Guid>{F6167100-F442-442A-8159-60789CF4497A}</b:Guid>
    <b:Author>
      <b:Author>
        <b:Corporate>National Disability Services</b:Corporate>
      </b:Author>
    </b:Author>
    <b:Title>Tasmanian Disability Workforce Strategy and Action Plan</b:Title>
    <b:Year>2016</b:Year>
    <b:RefOrder>14</b:RefOrder>
  </b:Source>
  <b:Source>
    <b:Tag>Tas16</b:Tag>
    <b:SourceType>Report</b:SourceType>
    <b:Guid>{9BA1D0AC-791E-46C9-9AA1-CFA7C24F6EA8}</b:Guid>
    <b:Author>
      <b:Author>
        <b:Corporate>Tasmanian Chamber of Commerce and Industry</b:Corporate>
      </b:Author>
    </b:Author>
    <b:Title>Tasmania Report 2016</b:Title>
    <b:Year>2016</b:Year>
    <b:RefOrder>15</b:RefOrder>
  </b:Source>
  <b:Source>
    <b:Tag>Com14</b:Tag>
    <b:SourceType>Report</b:SourceType>
    <b:Guid>{96F01767-D0F5-4768-B738-03435A9C423F}</b:Guid>
    <b:Author>
      <b:Author>
        <b:Corporate>Community Services &amp; Health Industry Skills Council</b:Corporate>
      </b:Author>
    </b:Author>
    <b:Title>New Roles in Community Services and Health Scoping Project</b:Title>
    <b:Year>2014</b:Year>
    <b:RefOrder>16</b:RefOrder>
  </b:Source>
  <b:Source>
    <b:Tag>Nat14</b:Tag>
    <b:SourceType>Report</b:SourceType>
    <b:Guid>{3567D9B1-23A2-4385-91E6-44A7F3730395}</b:Guid>
    <b:Author>
      <b:Author>
        <b:Corporate>National Mental Health Commission</b:Corporate>
      </b:Author>
    </b:Author>
    <b:Title>National Review of Mental Health Programmes and Services - Fact Sheet</b:Title>
    <b:Year>2014</b:Year>
    <b:Publisher>Human Capital Alliance (International) Pty Ltd</b:Publisher>
    <b:RefOrder>17</b:RefOrder>
  </b:Source>
  <b:Source>
    <b:Tag>Prod17</b:Tag>
    <b:SourceType>Report</b:SourceType>
    <b:Guid>{EB82404A-1FC5-48ED-A8B0-4D852FF8E3D2}</b:Guid>
    <b:Author>
      <b:Author>
        <b:Corporate>Australian Government Productivity Commission</b:Corporate>
      </b:Author>
    </b:Author>
    <b:Title>National Disability Insurance Scheme (NDIS) Costs</b:Title>
    <b:Year>2017</b:Year>
    <b:RefOrder>18</b:RefOrder>
  </b:Source>
  <b:Source>
    <b:Tag>Pri16</b:Tag>
    <b:SourceType>Report</b:SourceType>
    <b:Guid>{B649A8B8-FDE2-490E-B056-2703E311FCB0}</b:Guid>
    <b:Author>
      <b:Author>
        <b:Corporate>Primary Health Tasmania</b:Corporate>
      </b:Author>
    </b:Author>
    <b:Title>Mental Health Commission Intentions 2016-2017</b:Title>
    <b:Year>2016</b:Year>
    <b:RefOrder>19</b:RefOrder>
  </b:Source>
  <b:Source>
    <b:Tag>NDIA16</b:Tag>
    <b:SourceType>Report</b:SourceType>
    <b:Guid>{0DE919A4-C8D7-453D-95C0-A7BF8215ABF8}</b:Guid>
    <b:Author>
      <b:Author>
        <b:Corporate>National Disability Insurance Agency</b:Corporate>
      </b:Author>
    </b:Author>
    <b:Title>Market Position Statement, Tasmania</b:Title>
    <b:Year>2016</b:Year>
    <b:RefOrder>20</b:RefOrder>
  </b:Source>
  <b:Source>
    <b:Tag>Aus16</b:Tag>
    <b:SourceType>Report</b:SourceType>
    <b:Guid>{54EDC542-09B1-4986-949A-86F7E7D58C55}</b:Guid>
    <b:Author>
      <b:Author>
        <b:Corporate>Australian Government Productivity Commission</b:Corporate>
      </b:Author>
    </b:Author>
    <b:Title>Introducing Competition and Informed User Choice into Human Services: Identifying Sectors for Reform</b:Title>
    <b:Year>2016</b:Year>
    <b:RefOrder>21</b:RefOrder>
  </b:Source>
  <b:Source>
    <b:Tag>Hea14</b:Tag>
    <b:SourceType>Report</b:SourceType>
    <b:Guid>{880DC841-5A83-476E-95C5-B7C0D833F242}</b:Guid>
    <b:Author>
      <b:Author>
        <b:Corporate>Health and Community Services Workforce Council</b:Corporate>
      </b:Author>
    </b:Author>
    <b:Title>Health and Community Services VET Qualification and Occupation Matrix</b:Title>
    <b:Year>2014</b:Year>
    <b:RefOrder>22</b:RefOrder>
  </b:Source>
  <b:Source>
    <b:Tag>Hea13</b:Tag>
    <b:SourceType>Report</b:SourceType>
    <b:Guid>{90D1ABB1-BAA0-41FA-9D23-973DB170E3F2}</b:Guid>
    <b:Author>
      <b:Author>
        <b:Corporate>Health and Community Services Workforce Council</b:Corporate>
      </b:Author>
    </b:Author>
    <b:Title>Health and Community Services Industry Skills and Workforce Development Report 2013</b:Title>
    <b:Year>2013</b:Year>
    <b:RefOrder>23</b:RefOrder>
  </b:Source>
  <b:Source>
    <b:Tag>Del16</b:Tag>
    <b:SourceType>Report</b:SourceType>
    <b:Guid>{ED45886A-98B3-447C-A8C7-3D3FE4DE2D5A}</b:Guid>
    <b:Author>
      <b:Author>
        <b:Corporate>Deloitte Access Economics</b:Corporate>
      </b:Author>
    </b:Author>
    <b:Title>Forecasting the future: Community Services in Queensland 2025</b:Title>
    <b:Year>2016</b:Year>
    <b:RefOrder>24</b:RefOrder>
  </b:Source>
  <b:Source>
    <b:Tag>Oct14</b:Tag>
    <b:SourceType>Report</b:SourceType>
    <b:Guid>{50FDCE65-2BC7-4839-9B35-B69BF1D2318C}</b:Guid>
    <b:Author>
      <b:Author>
        <b:Corporate>Australian Government National Mental Health Commission</b:Corporate>
      </b:Author>
    </b:Author>
    <b:Title>Final Report on workforce requirements in support of the 2014 National Review of Mental Health Programs and Services</b:Title>
    <b:Year>2014</b:Year>
    <b:RefOrder>25</b:RefOrder>
  </b:Source>
  <b:Source>
    <b:Tag>Nat151</b:Tag>
    <b:SourceType>Report</b:SourceType>
    <b:Guid>{C21DB6A2-7AFC-4250-A326-C39553983F9B}</b:Guid>
    <b:Author>
      <b:Author>
        <b:Corporate>National Disability Services</b:Corporate>
      </b:Author>
    </b:Author>
    <b:Title>Economic Benefits of the NDIS in South Australia</b:Title>
    <b:Year>2015</b:Year>
    <b:RefOrder>26</b:RefOrder>
  </b:Source>
  <b:Source>
    <b:Tag>Nat15</b:Tag>
    <b:SourceType>Report</b:SourceType>
    <b:Guid>{84B00A93-B110-4BC9-9E5F-DC6199EE4145}</b:Guid>
    <b:Author>
      <b:Author>
        <b:Corporate>National Disability Services</b:Corporate>
      </b:Author>
    </b:Author>
    <b:Title>Economic Benefits of the NDIS in NSW</b:Title>
    <b:Year>2015</b:Year>
    <b:RefOrder>27</b:RefOrder>
  </b:Source>
  <b:Source>
    <b:Tag>Com141</b:Tag>
    <b:SourceType>Report</b:SourceType>
    <b:Guid>{6F904C71-7046-4041-AEEE-6020E63F0A4A}</b:Guid>
    <b:Author>
      <b:Author>
        <b:Corporate>Community Services, Health and Education Training Council Inc.</b:Corporate>
      </b:Author>
    </b:Author>
    <b:Title>Community Services Industry Workforce Development Plan</b:Title>
    <b:Year>2014</b:Year>
    <b:RefOrder>28</b:RefOrder>
  </b:Source>
  <b:Source>
    <b:Tag>Sta11</b:Tag>
    <b:SourceType>Report</b:SourceType>
    <b:Guid>{0B91F7C5-EC59-47D2-92D0-9682DBE0C355}</b:Guid>
    <b:Author>
      <b:Author>
        <b:Corporate>State Government of Victoria</b:Corporate>
      </b:Author>
    </b:Author>
    <b:Title>Community Sector Workforce Capability Framework Toolkit</b:Title>
    <b:Year>2011</b:Year>
    <b:RefOrder>29</b:RefOrder>
  </b:Source>
  <b:Source>
    <b:Tag>Gog14</b:Tag>
    <b:SourceType>Report</b:SourceType>
    <b:Guid>{0A3FF9F3-A9AE-4DC4-A585-ED07D1C84614}</b:Guid>
    <b:Author>
      <b:Author>
        <b:NameList>
          <b:Person>
            <b:Last>Goggins</b:Last>
            <b:First>Gerard</b:First>
          </b:Person>
          <b:Person>
            <b:Last>Wadiwel</b:Last>
            <b:First>Dinesh</b:First>
          </b:Person>
        </b:NameList>
      </b:Author>
    </b:Author>
    <b:Title>Australian disability reform and political participation</b:Title>
    <b:Year>2014</b:Year>
    <b:RefOrder>30</b:RefOrder>
  </b:Source>
  <b:Source>
    <b:Tag>Cha15</b:Tag>
    <b:SourceType>Report</b:SourceType>
    <b:Guid>{50A20AF8-BA18-47C9-8FDF-747C7125722B}</b:Guid>
    <b:Author>
      <b:Author>
        <b:Corporate>Charles Sturt University</b:Corporate>
      </b:Author>
    </b:Author>
    <b:Title>An Estimate of the Economic Effects of the Implementation of the National Disability Insurance Scheme</b:Title>
    <b:Year>2015</b:Year>
    <b:RefOrder>31</b:RefOrder>
  </b:Source>
  <b:Source>
    <b:Tag>Nat10</b:Tag>
    <b:SourceType>Report</b:SourceType>
    <b:Guid>{0B5F9015-C187-483E-A12F-7C9FC7D8485E}</b:Guid>
    <b:Author>
      <b:Author>
        <b:Corporate>National Centre for Education and Training on Addiction (NCETA)</b:Corporate>
      </b:Author>
    </b:Author>
    <b:Title>Alcohol and Other Drugs Workforce Development Issues and Imperatives: Setting the Scene</b:Title>
    <b:Year>2010</b:Year>
    <b:RefOrder>32</b:RefOrder>
  </b:Source>
  <b:Source xmlns:b="http://schemas.openxmlformats.org/officeDocument/2006/bibliography">
    <b:Tag>Uni15</b:Tag>
    <b:SourceType>Report</b:SourceType>
    <b:Guid>{BE535987-69A6-41F8-A2CA-A9285F500A36}</b:Guid>
    <b:Author>
      <b:Author>
        <b:Corporate>University of New South Wales</b:Corporate>
      </b:Author>
    </b:Author>
    <b:Title>The State of the Community Service Sector in NSW</b:Title>
    <b:Year>2015</b:Year>
    <b:Publisher>Social Policy Research Centre</b:Publisher>
    <b:City>Sydney</b:City>
    <b:RefOrder>33</b:RefOrder>
  </b:Source>
  <b:Source>
    <b:Tag>New08</b:Tag>
    <b:SourceType>Report</b:SourceType>
    <b:Guid>{4D96DDE2-5EB0-4573-88F2-7C4E4DC388DF}</b:Guid>
    <b:Author>
      <b:Author>
        <b:Corporate>New South Wales Government</b:Corporate>
      </b:Author>
    </b:Author>
    <b:Title>NSW Public Sector Workforce Strategy 2008-2012</b:Title>
    <b:Year>2008</b:Year>
    <b:Publisher>Department of Premier and Cabinet</b:Publisher>
    <b:RefOrder>34</b:RefOrder>
  </b:Source>
  <b:Source>
    <b:Tag>Dep17</b:Tag>
    <b:SourceType>Report</b:SourceType>
    <b:Guid>{0A5325D3-E5EB-4E1F-A1B3-3A8D8FC83D1D}</b:Guid>
    <b:Author>
      <b:Author>
        <b:Corporate>Department of Education and Training</b:Corporate>
      </b:Author>
    </b:Author>
    <b:Title>National Register of Vocational Education and Training</b:Title>
    <b:Year>2017</b:Year>
    <b:RefOrder>35</b:RefOrder>
  </b:Source>
  <b:Source>
    <b:Tag>Tas12</b:Tag>
    <b:SourceType>Report</b:SourceType>
    <b:Guid>{F9807607-E7B0-494E-8AC0-B6AF5BFBF094}</b:Guid>
    <b:Author>
      <b:Author>
        <b:Corporate>Tasmanian Council of Social Services</b:Corporate>
      </b:Author>
    </b:Author>
    <b:Title>A Workforce for the Future, Tasmanian Community Services Sector: Workforce Development Plan 2012-2015</b:Title>
    <b:Year>2012</b:Year>
    <b:RefOrder>36</b:RefOrder>
  </b:Source>
  <b:Source>
    <b:Tag>Aus05</b:Tag>
    <b:SourceType>Report</b:SourceType>
    <b:Guid>{4939C2B0-F98F-44B9-8F86-8C7C8174E51A}</b:Guid>
    <b:Author>
      <b:Author>
        <b:Corporate>Australian Council of Social Services</b:Corporate>
      </b:Author>
    </b:Author>
    <b:Title>Who Cares? Volume 1: A Profile of Care Workers in Australia's Community Services Industries</b:Title>
    <b:Year>2005</b:Year>
    <b:RefOrder>37</b:RefOrder>
  </b:Source>
  <b:Source>
    <b:Tag>Aus06</b:Tag>
    <b:SourceType>Report</b:SourceType>
    <b:Guid>{96E16749-FF7E-4CAF-AF93-22F115E4E1AC}</b:Guid>
    <b:Author>
      <b:Author>
        <b:Corporate>Australian Council of Social Services</b:Corporate>
      </b:Author>
    </b:Author>
    <b:Title>Who Cares? Volume 2: Employment structure and incomes in the Australian care workforce</b:Title>
    <b:Year>2006</b:Year>
    <b:RefOrder>38</b:RefOrder>
  </b:Source>
  <b:Source>
    <b:Tag>TasCOSS15</b:Tag>
    <b:SourceType>Report</b:SourceType>
    <b:Guid>{978D72CD-CC39-447A-BDF9-7E71E45414FD}</b:Guid>
    <b:Author>
      <b:Author>
        <b:Corporate>Tasmanian Council of Social Services</b:Corporate>
      </b:Author>
    </b:Author>
    <b:Title>TasCOSS Community Services and Outcomes Measurement: Survey Results</b:Title>
    <b:Year>2015</b:Year>
    <b:RefOrder>39</b:RefOrder>
  </b:Source>
  <b:Source>
    <b:Tag>NSW15</b:Tag>
    <b:SourceType>Report</b:SourceType>
    <b:Guid>{E00930E5-6D97-44D7-B1A5-F7663F167E96}</b:Guid>
    <b:Author>
      <b:Author>
        <b:Corporate>New South Wales Homelessness Industry Partnership</b:Corporate>
      </b:Author>
    </b:Author>
    <b:Title>Homelessness Industry and Workforce Development Strategy</b:Title>
    <b:Year>2015</b:Year>
    <b:RefOrder>40</b:RefOrder>
  </b:Source>
  <b:Source>
    <b:Tag>Tas14</b:Tag>
    <b:SourceType>Report</b:SourceType>
    <b:Guid>{7063A5F7-58AC-4070-8210-D6C515720BA1}</b:Guid>
    <b:Author>
      <b:Author>
        <b:Corporate>Tasmanian Council of Social Services</b:Corporate>
      </b:Author>
    </b:Author>
    <b:Title>Annual Report 2013/14</b:Title>
    <b:Year>2014</b:Year>
    <b:RefOrder>41</b:RefOrder>
  </b:Source>
  <b:Source>
    <b:Tag>Aus09</b:Tag>
    <b:SourceType>Report</b:SourceType>
    <b:Guid>{1881506B-6B28-4503-9CDE-0C65241FD5C4}</b:Guid>
    <b:Author>
      <b:Author>
        <b:Corporate>Australian Qualifications Framework</b:Corporate>
      </b:Author>
    </b:Author>
    <b:Title>Australian Qualifications Framework National Policy Guidelines on Credit Arrangements</b:Title>
    <b:Year>2009</b:Year>
    <b:RefOrder>42</b:RefOrder>
  </b:Source>
  <b:Source>
    <b:Tag>UNSW2015</b:Tag>
    <b:SourceType>Report</b:SourceType>
    <b:Guid>{9CA07068-2640-47C6-B180-C1B67366BF13}</b:Guid>
    <b:Author>
      <b:Author>
        <b:Corporate>University of New South Wales</b:Corporate>
      </b:Author>
    </b:Author>
    <b:Title>The State of Tasmania's Community Service Sector, 2015</b:Title>
    <b:Year>2016</b:Year>
    <b:Publisher>Social Policy Research Centre</b:Publisher>
    <b:City>Sydney</b:City>
    <b:RefOrder>43</b:RefOrder>
  </b:Source>
  <b:Source>
    <b:Tag>Uni17</b:Tag>
    <b:SourceType>InternetSite</b:SourceType>
    <b:Guid>{C2AF6083-3BFB-427F-8BC3-A43940D9C686}</b:Guid>
    <b:Title>Find a course</b:Title>
    <b:Year>2017</b:Year>
    <b:Author>
      <b:Author>
        <b:Corporate>University of Tasmania</b:Corporate>
      </b:Author>
    </b:Author>
    <b:InternetSiteTitle>University of Tasmania</b:InternetSiteTitle>
    <b:Month>March</b:Month>
    <b:Day>03</b:Day>
    <b:URL>http://www.utas.edu.au/courses</b:URL>
    <b:RefOrder>44</b:RefOrder>
  </b:Source>
  <b:Source>
    <b:Tag>Age10</b:Tag>
    <b:SourceType>Report</b:SourceType>
    <b:Guid>{02CB8553-A19E-4E1C-9D3B-8282F716F279}</b:Guid>
    <b:Author>
      <b:Author>
        <b:Corporate>Aged and Community Services Australia</b:Corporate>
      </b:Author>
    </b:Author>
    <b:Title>Aged Care Services Industry Skills Plan</b:Title>
    <b:Year>2010</b:Year>
    <b:City>Hobart</b:City>
    <b:Publisher>Skills Tasmania</b:Publisher>
    <b:RefOrder>45</b:RefOrder>
  </b:Source>
</b:Sources>
</file>

<file path=customXml/itemProps1.xml><?xml version="1.0" encoding="utf-8"?>
<ds:datastoreItem xmlns:ds="http://schemas.openxmlformats.org/officeDocument/2006/customXml" ds:itemID="{998451A7-5129-47A8-9BDD-25C07A38A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35</Pages>
  <Words>5597</Words>
  <Characters>31907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Tasmanian Mining WOrkforce profile and emerging challenges</vt:lpstr>
    </vt:vector>
  </TitlesOfParts>
  <Company>Microsoft</Company>
  <LinksUpToDate>false</LinksUpToDate>
  <CharactersWithSpaces>37430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Tasmanian Mining Industry Workforce Profile and Emerging Challenges</dc:title>
  <dc:subject>Companion Document</dc:subject>
  <dc:creator>Kim Sylow</dc:creator>
  <cp:lastModifiedBy>Sam Waterhouse</cp:lastModifiedBy>
  <cp:revision>39</cp:revision>
  <cp:lastPrinted>2019-12-04T21:28:00Z</cp:lastPrinted>
  <dcterms:created xsi:type="dcterms:W3CDTF">2019-09-24T04:52:00Z</dcterms:created>
  <dcterms:modified xsi:type="dcterms:W3CDTF">2019-12-04T21:29:00Z</dcterms:modified>
</cp:coreProperties>
</file>