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851409" w:displacedByCustomXml="next"/>
    <w:sdt>
      <w:sdtPr>
        <w:id w:val="794022831"/>
        <w:docPartObj>
          <w:docPartGallery w:val="Cover Pages"/>
          <w:docPartUnique/>
        </w:docPartObj>
      </w:sdtPr>
      <w:sdtEndPr>
        <w:rPr>
          <w:b/>
        </w:rPr>
      </w:sdtEndPr>
      <w:sdtContent>
        <w:p w14:paraId="688FA607" w14:textId="2A83A6FC" w:rsidR="00F84EC7" w:rsidRPr="009E4426" w:rsidRDefault="00F84EC7">
          <w:r w:rsidRPr="009E4426">
            <w:rPr>
              <w:noProof/>
              <w:lang w:val="en-GB" w:eastAsia="en-GB"/>
            </w:rPr>
            <mc:AlternateContent>
              <mc:Choice Requires="wpg">
                <w:drawing>
                  <wp:anchor distT="0" distB="0" distL="114300" distR="114300" simplePos="0" relativeHeight="251658240" behindDoc="1" locked="0" layoutInCell="1" allowOverlap="1" wp14:anchorId="69E138E0" wp14:editId="7556C463">
                    <wp:simplePos x="0" y="0"/>
                    <wp:positionH relativeFrom="page">
                      <wp:posOffset>66675</wp:posOffset>
                    </wp:positionH>
                    <wp:positionV relativeFrom="page">
                      <wp:posOffset>85725</wp:posOffset>
                    </wp:positionV>
                    <wp:extent cx="7410450" cy="10515600"/>
                    <wp:effectExtent l="0" t="0" r="0" b="0"/>
                    <wp:wrapNone/>
                    <wp:docPr id="48" name="Group 48"/>
                    <wp:cNvGraphicFramePr/>
                    <a:graphic xmlns:a="http://schemas.openxmlformats.org/drawingml/2006/main">
                      <a:graphicData uri="http://schemas.microsoft.com/office/word/2010/wordprocessingGroup">
                        <wpg:wgp>
                          <wpg:cNvGrpSpPr/>
                          <wpg:grpSpPr>
                            <a:xfrm>
                              <a:off x="0" y="0"/>
                              <a:ext cx="7410450" cy="105156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accent1"/>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F490B83" w14:textId="6EFE307B" w:rsidR="00F9502A" w:rsidRDefault="00F9502A">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14:paraId="6332D560" w14:textId="7C677697" w:rsidR="00F9502A" w:rsidRDefault="00F9502A">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Tasmanian Mining Industry Workforce Development Plan 2019-2022</w:t>
                                      </w:r>
                                    </w:p>
                                  </w:sdtContent>
                                </w:sdt>
                                <w:p w14:paraId="3030A5BC" w14:textId="2D846CA4" w:rsidR="00F9502A" w:rsidRPr="007A0634" w:rsidRDefault="00F9502A">
                                  <w:pPr>
                                    <w:pStyle w:val="NoSpacing"/>
                                    <w:spacing w:before="120"/>
                                    <w:rPr>
                                      <w:color w:val="ED7D31" w:themeColor="accent2"/>
                                      <w:sz w:val="36"/>
                                      <w:szCs w:val="36"/>
                                    </w:rPr>
                                  </w:pPr>
                                  <w:sdt>
                                    <w:sdtPr>
                                      <w:rPr>
                                        <w:color w:val="ED7D31" w:themeColor="accent2"/>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r>
                                        <w:rPr>
                                          <w:color w:val="ED7D31" w:themeColor="accent2"/>
                                          <w:sz w:val="36"/>
                                          <w:szCs w:val="36"/>
                                        </w:rPr>
                                        <w:t>Final Report</w:t>
                                      </w:r>
                                    </w:sdtContent>
                                  </w:sdt>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E138E0" id="Group 48" o:spid="_x0000_s1026" style="position:absolute;margin-left:5.25pt;margin-top:6.75pt;width:583.5pt;height:828pt;z-index:-251658240;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" fillcolor="#4472c4 [3204]" stroked="f" strokeweight="1pt">
                        <v:fill color2="#3d4b5f [2882]" angle="348" colors="0 #4472c4;6554f #4472c4" focus="100%" type="gradient"/>
                        <v:textbox inset="54pt,54pt,1in,5in">
                          <w:txbxContent>
                            <w:p w14:paraId="0F490B83" w14:textId="6EFE307B" w:rsidR="00F9502A" w:rsidRDefault="00F9502A">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14:paraId="6332D560" w14:textId="7C677697" w:rsidR="00F9502A" w:rsidRDefault="00F9502A">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Tasmanian Mining Industry Workforce Development Plan 2019-2022</w:t>
                                </w:r>
                              </w:p>
                            </w:sdtContent>
                          </w:sdt>
                          <w:p w14:paraId="3030A5BC" w14:textId="2D846CA4" w:rsidR="00F9502A" w:rsidRPr="007A0634" w:rsidRDefault="00F9502A">
                            <w:pPr>
                              <w:pStyle w:val="NoSpacing"/>
                              <w:spacing w:before="120"/>
                              <w:rPr>
                                <w:color w:val="ED7D31" w:themeColor="accent2"/>
                                <w:sz w:val="36"/>
                                <w:szCs w:val="36"/>
                              </w:rPr>
                            </w:pPr>
                            <w:sdt>
                              <w:sdtPr>
                                <w:rPr>
                                  <w:color w:val="ED7D31" w:themeColor="accent2"/>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r>
                                  <w:rPr>
                                    <w:color w:val="ED7D31" w:themeColor="accent2"/>
                                    <w:sz w:val="36"/>
                                    <w:szCs w:val="36"/>
                                  </w:rPr>
                                  <w:t>Final Report</w:t>
                                </w:r>
                              </w:sdtContent>
                            </w:sdt>
                          </w:p>
                        </w:txbxContent>
                      </v:textbox>
                    </v:shape>
                    <w10:wrap anchorx="page" anchory="page"/>
                  </v:group>
                </w:pict>
              </mc:Fallback>
            </mc:AlternateContent>
          </w:r>
        </w:p>
        <w:p w14:paraId="38CF686B" w14:textId="773AEC2E" w:rsidR="00F84EC7" w:rsidRPr="009E4426" w:rsidRDefault="00F84EC7">
          <w:pPr>
            <w:spacing w:before="0" w:after="0"/>
          </w:pPr>
          <w:r w:rsidRPr="009E4426">
            <w:rPr>
              <w:b/>
            </w:rPr>
            <w:br w:type="page"/>
          </w:r>
        </w:p>
      </w:sdtContent>
    </w:sdt>
    <w:p w14:paraId="52A7AAD9" w14:textId="7A4C0A41" w:rsidR="007A0634" w:rsidRPr="00E40051" w:rsidRDefault="00321AFC" w:rsidP="008B64C2">
      <w:pPr>
        <w:pStyle w:val="UnnumberedHeading1"/>
        <w:pageBreakBefore/>
        <w:rPr>
          <w:rStyle w:val="TWLTableHeading"/>
          <w:rFonts w:eastAsia="Times"/>
          <w:szCs w:val="20"/>
          <w:lang w:eastAsia="en-GB"/>
        </w:rPr>
      </w:pPr>
      <w:bookmarkStart w:id="1" w:name="_Toc22287621"/>
      <w:bookmarkStart w:id="2" w:name="_Toc22567755"/>
      <w:bookmarkStart w:id="3" w:name="_Toc23797289"/>
      <w:bookmarkStart w:id="4" w:name="_Toc24356553"/>
      <w:bookmarkStart w:id="5" w:name="_Toc24364795"/>
      <w:r w:rsidRPr="00FD2027">
        <w:rPr>
          <w:rFonts w:eastAsia="Cambria" w:cs="Arial"/>
          <w:sz w:val="40"/>
          <w:szCs w:val="22"/>
        </w:rPr>
        <w:lastRenderedPageBreak/>
        <w:t>A</w:t>
      </w:r>
      <w:r w:rsidR="008B64C2" w:rsidRPr="00FD2027">
        <w:t>ck</w:t>
      </w:r>
      <w:r w:rsidR="008B64C2">
        <w:t>nowledgements and Disclaimer</w:t>
      </w:r>
      <w:bookmarkEnd w:id="1"/>
      <w:bookmarkEnd w:id="2"/>
      <w:bookmarkEnd w:id="3"/>
      <w:bookmarkEnd w:id="4"/>
      <w:bookmarkEnd w:id="5"/>
    </w:p>
    <w:p w14:paraId="54A36346" w14:textId="7B46AFB3" w:rsidR="00321AFC" w:rsidRPr="00E40051" w:rsidRDefault="00321AFC" w:rsidP="00321AFC">
      <w:r w:rsidRPr="00E40051">
        <w:t xml:space="preserve">This workforce development plan has been prepared by </w:t>
      </w:r>
      <w:r w:rsidR="00E40051" w:rsidRPr="00E40051">
        <w:t xml:space="preserve">Stenning &amp; Associates, in conjunction with </w:t>
      </w:r>
      <w:r w:rsidRPr="00E40051">
        <w:t xml:space="preserve">The Work Lab, for the </w:t>
      </w:r>
      <w:r w:rsidR="00E40051" w:rsidRPr="00E40051">
        <w:t>Tasmanian mining industry</w:t>
      </w:r>
      <w:r w:rsidRPr="00E40051">
        <w:t xml:space="preserve"> </w:t>
      </w:r>
      <w:r w:rsidR="007E3B8A" w:rsidRPr="00E40051">
        <w:t>on behalf of the</w:t>
      </w:r>
      <w:r w:rsidRPr="00E40051">
        <w:t xml:space="preserve"> Tasmanian </w:t>
      </w:r>
      <w:r w:rsidR="00E40051" w:rsidRPr="00E40051">
        <w:t>Minerals, Manufacturing and Energy Council</w:t>
      </w:r>
      <w:r w:rsidRPr="00E40051">
        <w:t>.</w:t>
      </w:r>
    </w:p>
    <w:p w14:paraId="1B244CD9" w14:textId="3A5F3D31" w:rsidR="00321AFC" w:rsidRPr="00E40051" w:rsidRDefault="00321AFC" w:rsidP="00321AFC">
      <w:r w:rsidRPr="00E40051">
        <w:t xml:space="preserve">We would like to acknowledge </w:t>
      </w:r>
      <w:r w:rsidR="00BA7DC7" w:rsidRPr="00E40051">
        <w:t xml:space="preserve">the assistance of the </w:t>
      </w:r>
      <w:r w:rsidR="00E40051" w:rsidRPr="00E40051">
        <w:t>Steering Committee</w:t>
      </w:r>
      <w:r w:rsidR="00BA7DC7" w:rsidRPr="00E40051">
        <w:t xml:space="preserve"> and the support of the industry in helping to build this </w:t>
      </w:r>
      <w:r w:rsidR="00D361BD" w:rsidRPr="00E40051">
        <w:t>Plan</w:t>
      </w:r>
      <w:r w:rsidR="00BA7DC7" w:rsidRPr="00E40051">
        <w:t>.</w:t>
      </w:r>
    </w:p>
    <w:p w14:paraId="26BDFBA2" w14:textId="0B116D33" w:rsidR="007A0DE2" w:rsidRPr="009E4426" w:rsidRDefault="00361530" w:rsidP="007A01BF">
      <w:r w:rsidRPr="009E4426">
        <w:rPr>
          <w:noProof/>
          <w:lang w:val="en-GB" w:eastAsia="en-GB"/>
        </w:rPr>
        <w:drawing>
          <wp:anchor distT="0" distB="0" distL="114300" distR="114300" simplePos="0" relativeHeight="251659264" behindDoc="1" locked="0" layoutInCell="1" allowOverlap="1" wp14:anchorId="55EE8FAF" wp14:editId="23C26BFF">
            <wp:simplePos x="0" y="0"/>
            <wp:positionH relativeFrom="column">
              <wp:posOffset>22860</wp:posOffset>
            </wp:positionH>
            <wp:positionV relativeFrom="paragraph">
              <wp:posOffset>6313805</wp:posOffset>
            </wp:positionV>
            <wp:extent cx="2084070" cy="866775"/>
            <wp:effectExtent l="0" t="0" r="0" b="9525"/>
            <wp:wrapTight wrapText="bothSides">
              <wp:wrapPolygon edited="0">
                <wp:start x="0" y="0"/>
                <wp:lineTo x="0" y="21363"/>
                <wp:lineTo x="21324" y="21363"/>
                <wp:lineTo x="21324" y="0"/>
                <wp:lineTo x="0" y="0"/>
              </wp:wrapPolygon>
            </wp:wrapTight>
            <wp:docPr id="12" name="Picture 12" descr="70816 Stenning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0816 Stenning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07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426">
        <w:rPr>
          <w:noProof/>
          <w:lang w:val="en-GB" w:eastAsia="en-GB"/>
        </w:rPr>
        <w:drawing>
          <wp:anchor distT="0" distB="0" distL="114300" distR="114300" simplePos="0" relativeHeight="251660288" behindDoc="1" locked="0" layoutInCell="1" allowOverlap="1" wp14:anchorId="4A50082D" wp14:editId="676EE134">
            <wp:simplePos x="0" y="0"/>
            <wp:positionH relativeFrom="column">
              <wp:posOffset>2604135</wp:posOffset>
            </wp:positionH>
            <wp:positionV relativeFrom="paragraph">
              <wp:posOffset>6532880</wp:posOffset>
            </wp:positionV>
            <wp:extent cx="3562350" cy="506095"/>
            <wp:effectExtent l="0" t="0" r="0" b="8255"/>
            <wp:wrapTight wrapText="bothSides">
              <wp:wrapPolygon edited="0">
                <wp:start x="0" y="0"/>
                <wp:lineTo x="0" y="21139"/>
                <wp:lineTo x="21484" y="21139"/>
                <wp:lineTo x="21484" y="0"/>
                <wp:lineTo x="0" y="0"/>
              </wp:wrapPolygon>
            </wp:wrapTight>
            <wp:docPr id="13" name="Picture 13" descr="TW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L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506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1AFC" w:rsidRPr="00E40051">
        <w:t xml:space="preserve">The information contained in this workforce development plan has been sourced from desktop research and consultations with stakeholders.  While all due care has been taken in compiling this document, </w:t>
      </w:r>
      <w:r w:rsidR="00E40051" w:rsidRPr="00E40051">
        <w:t>Stenning &amp; Associates</w:t>
      </w:r>
      <w:r w:rsidR="00321AFC" w:rsidRPr="00E40051">
        <w:t xml:space="preserve"> and its subcontractors accept no responsibility for the accuracy or completeness of information gained from these sources and recommends that readers exercise their own skill and care with respect to its use. </w:t>
      </w:r>
      <w:r w:rsidR="007A0DE2" w:rsidRPr="00E40051">
        <w:t xml:space="preserve"> </w:t>
      </w:r>
      <w:r w:rsidR="00321AFC" w:rsidRPr="00E40051">
        <w:t>We will not be responsible for any loss, however arising, from the use of, or reliance on this information.</w:t>
      </w:r>
    </w:p>
    <w:bookmarkStart w:id="6" w:name="_Toc24364796" w:displacedByCustomXml="next"/>
    <w:bookmarkStart w:id="7" w:name="_Toc24356554" w:displacedByCustomXml="next"/>
    <w:bookmarkStart w:id="8" w:name="_Toc23797290" w:displacedByCustomXml="next"/>
    <w:bookmarkStart w:id="9" w:name="_Toc22287622" w:displacedByCustomXml="next"/>
    <w:bookmarkStart w:id="10" w:name="_Toc22567756" w:displacedByCustomXml="next"/>
    <w:sdt>
      <w:sdtPr>
        <w:rPr>
          <w:rFonts w:eastAsia="Cambria"/>
          <w:b w:val="0"/>
          <w:bCs/>
          <w:caps/>
          <w:kern w:val="0"/>
          <w:sz w:val="22"/>
          <w:szCs w:val="22"/>
        </w:rPr>
        <w:id w:val="1936793783"/>
        <w:docPartObj>
          <w:docPartGallery w:val="Table of Contents"/>
          <w:docPartUnique/>
        </w:docPartObj>
      </w:sdtPr>
      <w:sdtEndPr>
        <w:rPr>
          <w:bCs w:val="0"/>
          <w:caps w:val="0"/>
          <w:noProof/>
        </w:rPr>
      </w:sdtEndPr>
      <w:sdtContent>
        <w:p w14:paraId="08F4C795" w14:textId="121C244F" w:rsidR="00F84EC7" w:rsidRPr="009E4426" w:rsidRDefault="00F84EC7" w:rsidP="008B64C2">
          <w:pPr>
            <w:pStyle w:val="UnnumberedHeading1"/>
            <w:pageBreakBefore/>
            <w:rPr>
              <w:caps/>
            </w:rPr>
          </w:pPr>
          <w:r w:rsidRPr="009E4426">
            <w:t>C</w:t>
          </w:r>
          <w:r w:rsidR="008B64C2">
            <w:t>ontents</w:t>
          </w:r>
          <w:bookmarkEnd w:id="10"/>
          <w:bookmarkEnd w:id="9"/>
          <w:bookmarkEnd w:id="8"/>
          <w:bookmarkEnd w:id="7"/>
          <w:bookmarkEnd w:id="6"/>
        </w:p>
        <w:p w14:paraId="2BB91355" w14:textId="7865EB8E" w:rsidR="00823F6A" w:rsidRDefault="00F84EC7">
          <w:pPr>
            <w:pStyle w:val="TOC1"/>
            <w:rPr>
              <w:rFonts w:asciiTheme="minorHAnsi" w:eastAsiaTheme="minorEastAsia" w:hAnsiTheme="minorHAnsi" w:cstheme="minorBidi"/>
              <w:noProof/>
              <w:lang w:eastAsia="en-AU"/>
            </w:rPr>
          </w:pPr>
          <w:r w:rsidRPr="009E4426">
            <w:fldChar w:fldCharType="begin"/>
          </w:r>
          <w:r w:rsidRPr="009E4426">
            <w:instrText xml:space="preserve"> TOC \o "1-3" \h \z \u </w:instrText>
          </w:r>
          <w:r w:rsidRPr="009E4426">
            <w:fldChar w:fldCharType="separate"/>
          </w:r>
          <w:hyperlink w:anchor="_Toc24364797" w:history="1">
            <w:r w:rsidR="00823F6A" w:rsidRPr="00EA4287">
              <w:rPr>
                <w:rStyle w:val="Hyperlink"/>
                <w:noProof/>
              </w:rPr>
              <w:t>Foreword</w:t>
            </w:r>
            <w:r w:rsidR="00823F6A">
              <w:rPr>
                <w:noProof/>
                <w:webHidden/>
              </w:rPr>
              <w:tab/>
            </w:r>
            <w:r w:rsidR="00823F6A">
              <w:rPr>
                <w:noProof/>
                <w:webHidden/>
              </w:rPr>
              <w:fldChar w:fldCharType="begin"/>
            </w:r>
            <w:r w:rsidR="00823F6A">
              <w:rPr>
                <w:noProof/>
                <w:webHidden/>
              </w:rPr>
              <w:instrText xml:space="preserve"> PAGEREF _Toc24364797 \h </w:instrText>
            </w:r>
            <w:r w:rsidR="00823F6A">
              <w:rPr>
                <w:noProof/>
                <w:webHidden/>
              </w:rPr>
            </w:r>
            <w:r w:rsidR="00823F6A">
              <w:rPr>
                <w:noProof/>
                <w:webHidden/>
              </w:rPr>
              <w:fldChar w:fldCharType="separate"/>
            </w:r>
            <w:r w:rsidR="00185227">
              <w:rPr>
                <w:noProof/>
                <w:webHidden/>
              </w:rPr>
              <w:t>iii</w:t>
            </w:r>
            <w:r w:rsidR="00823F6A">
              <w:rPr>
                <w:noProof/>
                <w:webHidden/>
              </w:rPr>
              <w:fldChar w:fldCharType="end"/>
            </w:r>
          </w:hyperlink>
        </w:p>
        <w:p w14:paraId="762768E3" w14:textId="3E442EBB" w:rsidR="00823F6A" w:rsidRDefault="00F9502A">
          <w:pPr>
            <w:pStyle w:val="TOC1"/>
            <w:rPr>
              <w:rFonts w:asciiTheme="minorHAnsi" w:eastAsiaTheme="minorEastAsia" w:hAnsiTheme="minorHAnsi" w:cstheme="minorBidi"/>
              <w:noProof/>
              <w:lang w:eastAsia="en-AU"/>
            </w:rPr>
          </w:pPr>
          <w:hyperlink w:anchor="_Toc24364798" w:history="1">
            <w:r w:rsidR="00823F6A" w:rsidRPr="00EA4287">
              <w:rPr>
                <w:rStyle w:val="Hyperlink"/>
                <w:noProof/>
              </w:rPr>
              <w:t>Executive Summary</w:t>
            </w:r>
            <w:r w:rsidR="00823F6A">
              <w:rPr>
                <w:noProof/>
                <w:webHidden/>
              </w:rPr>
              <w:tab/>
            </w:r>
            <w:r w:rsidR="00823F6A">
              <w:rPr>
                <w:noProof/>
                <w:webHidden/>
              </w:rPr>
              <w:fldChar w:fldCharType="begin"/>
            </w:r>
            <w:r w:rsidR="00823F6A">
              <w:rPr>
                <w:noProof/>
                <w:webHidden/>
              </w:rPr>
              <w:instrText xml:space="preserve"> PAGEREF _Toc24364798 \h </w:instrText>
            </w:r>
            <w:r w:rsidR="00823F6A">
              <w:rPr>
                <w:noProof/>
                <w:webHidden/>
              </w:rPr>
            </w:r>
            <w:r w:rsidR="00823F6A">
              <w:rPr>
                <w:noProof/>
                <w:webHidden/>
              </w:rPr>
              <w:fldChar w:fldCharType="separate"/>
            </w:r>
            <w:r w:rsidR="00185227">
              <w:rPr>
                <w:noProof/>
                <w:webHidden/>
              </w:rPr>
              <w:t>iv</w:t>
            </w:r>
            <w:r w:rsidR="00823F6A">
              <w:rPr>
                <w:noProof/>
                <w:webHidden/>
              </w:rPr>
              <w:fldChar w:fldCharType="end"/>
            </w:r>
          </w:hyperlink>
        </w:p>
        <w:p w14:paraId="66781CBC" w14:textId="16DD901F" w:rsidR="00823F6A" w:rsidRDefault="00F9502A">
          <w:pPr>
            <w:pStyle w:val="TOC1"/>
            <w:rPr>
              <w:rFonts w:asciiTheme="minorHAnsi" w:eastAsiaTheme="minorEastAsia" w:hAnsiTheme="minorHAnsi" w:cstheme="minorBidi"/>
              <w:noProof/>
              <w:lang w:eastAsia="en-AU"/>
            </w:rPr>
          </w:pPr>
          <w:hyperlink w:anchor="_Toc24364800" w:history="1">
            <w:r w:rsidR="00823F6A" w:rsidRPr="00EA4287">
              <w:rPr>
                <w:rStyle w:val="Hyperlink"/>
                <w:noProof/>
              </w:rPr>
              <w:t>1</w:t>
            </w:r>
            <w:r w:rsidR="00823F6A">
              <w:rPr>
                <w:rFonts w:asciiTheme="minorHAnsi" w:eastAsiaTheme="minorEastAsia" w:hAnsiTheme="minorHAnsi" w:cstheme="minorBidi"/>
                <w:noProof/>
                <w:lang w:eastAsia="en-AU"/>
              </w:rPr>
              <w:tab/>
            </w:r>
            <w:r w:rsidR="00823F6A" w:rsidRPr="00EA4287">
              <w:rPr>
                <w:rStyle w:val="Hyperlink"/>
                <w:noProof/>
              </w:rPr>
              <w:t>Tasmania’s Mining Industry is Growing</w:t>
            </w:r>
            <w:r w:rsidR="00823F6A">
              <w:rPr>
                <w:noProof/>
                <w:webHidden/>
              </w:rPr>
              <w:tab/>
            </w:r>
            <w:r w:rsidR="00823F6A">
              <w:rPr>
                <w:noProof/>
                <w:webHidden/>
              </w:rPr>
              <w:fldChar w:fldCharType="begin"/>
            </w:r>
            <w:r w:rsidR="00823F6A">
              <w:rPr>
                <w:noProof/>
                <w:webHidden/>
              </w:rPr>
              <w:instrText xml:space="preserve"> PAGEREF _Toc24364800 \h </w:instrText>
            </w:r>
            <w:r w:rsidR="00823F6A">
              <w:rPr>
                <w:noProof/>
                <w:webHidden/>
              </w:rPr>
            </w:r>
            <w:r w:rsidR="00823F6A">
              <w:rPr>
                <w:noProof/>
                <w:webHidden/>
              </w:rPr>
              <w:fldChar w:fldCharType="separate"/>
            </w:r>
            <w:r w:rsidR="00185227">
              <w:rPr>
                <w:noProof/>
                <w:webHidden/>
              </w:rPr>
              <w:t>1</w:t>
            </w:r>
            <w:r w:rsidR="00823F6A">
              <w:rPr>
                <w:noProof/>
                <w:webHidden/>
              </w:rPr>
              <w:fldChar w:fldCharType="end"/>
            </w:r>
          </w:hyperlink>
        </w:p>
        <w:p w14:paraId="28F357D4" w14:textId="7A8CEF2D" w:rsidR="00823F6A" w:rsidRDefault="00F9502A">
          <w:pPr>
            <w:pStyle w:val="TOC2"/>
            <w:rPr>
              <w:rFonts w:asciiTheme="minorHAnsi" w:eastAsiaTheme="minorEastAsia" w:hAnsiTheme="minorHAnsi" w:cstheme="minorBidi"/>
              <w:noProof/>
              <w:lang w:eastAsia="en-AU"/>
            </w:rPr>
          </w:pPr>
          <w:hyperlink w:anchor="_Toc24364801" w:history="1">
            <w:r w:rsidR="00823F6A" w:rsidRPr="00EA4287">
              <w:rPr>
                <w:rStyle w:val="Hyperlink"/>
                <w:noProof/>
              </w:rPr>
              <w:t>The Current Industry and its Workforce</w:t>
            </w:r>
            <w:r w:rsidR="00823F6A">
              <w:rPr>
                <w:noProof/>
                <w:webHidden/>
              </w:rPr>
              <w:tab/>
            </w:r>
            <w:r w:rsidR="00823F6A">
              <w:rPr>
                <w:noProof/>
                <w:webHidden/>
              </w:rPr>
              <w:fldChar w:fldCharType="begin"/>
            </w:r>
            <w:r w:rsidR="00823F6A">
              <w:rPr>
                <w:noProof/>
                <w:webHidden/>
              </w:rPr>
              <w:instrText xml:space="preserve"> PAGEREF _Toc24364801 \h </w:instrText>
            </w:r>
            <w:r w:rsidR="00823F6A">
              <w:rPr>
                <w:noProof/>
                <w:webHidden/>
              </w:rPr>
            </w:r>
            <w:r w:rsidR="00823F6A">
              <w:rPr>
                <w:noProof/>
                <w:webHidden/>
              </w:rPr>
              <w:fldChar w:fldCharType="separate"/>
            </w:r>
            <w:r w:rsidR="00185227">
              <w:rPr>
                <w:noProof/>
                <w:webHidden/>
              </w:rPr>
              <w:t>1</w:t>
            </w:r>
            <w:r w:rsidR="00823F6A">
              <w:rPr>
                <w:noProof/>
                <w:webHidden/>
              </w:rPr>
              <w:fldChar w:fldCharType="end"/>
            </w:r>
          </w:hyperlink>
        </w:p>
        <w:p w14:paraId="1A7D1957" w14:textId="71E24AE7" w:rsidR="00823F6A" w:rsidRDefault="00F9502A">
          <w:pPr>
            <w:pStyle w:val="TOC1"/>
            <w:rPr>
              <w:rFonts w:asciiTheme="minorHAnsi" w:eastAsiaTheme="minorEastAsia" w:hAnsiTheme="minorHAnsi" w:cstheme="minorBidi"/>
              <w:noProof/>
              <w:lang w:eastAsia="en-AU"/>
            </w:rPr>
          </w:pPr>
          <w:hyperlink w:anchor="_Toc24364802" w:history="1">
            <w:r w:rsidR="00823F6A" w:rsidRPr="00EA4287">
              <w:rPr>
                <w:rStyle w:val="Hyperlink"/>
                <w:noProof/>
              </w:rPr>
              <w:t>2</w:t>
            </w:r>
            <w:r w:rsidR="00823F6A">
              <w:rPr>
                <w:rFonts w:asciiTheme="minorHAnsi" w:eastAsiaTheme="minorEastAsia" w:hAnsiTheme="minorHAnsi" w:cstheme="minorBidi"/>
                <w:noProof/>
                <w:lang w:eastAsia="en-AU"/>
              </w:rPr>
              <w:tab/>
            </w:r>
            <w:r w:rsidR="00823F6A" w:rsidRPr="00EA4287">
              <w:rPr>
                <w:rStyle w:val="Hyperlink"/>
                <w:noProof/>
              </w:rPr>
              <w:t>Building Tasmania’s Mining Workforce</w:t>
            </w:r>
            <w:r w:rsidR="00823F6A">
              <w:rPr>
                <w:noProof/>
                <w:webHidden/>
              </w:rPr>
              <w:tab/>
            </w:r>
            <w:r w:rsidR="00823F6A">
              <w:rPr>
                <w:noProof/>
                <w:webHidden/>
              </w:rPr>
              <w:fldChar w:fldCharType="begin"/>
            </w:r>
            <w:r w:rsidR="00823F6A">
              <w:rPr>
                <w:noProof/>
                <w:webHidden/>
              </w:rPr>
              <w:instrText xml:space="preserve"> PAGEREF _Toc24364802 \h </w:instrText>
            </w:r>
            <w:r w:rsidR="00823F6A">
              <w:rPr>
                <w:noProof/>
                <w:webHidden/>
              </w:rPr>
            </w:r>
            <w:r w:rsidR="00823F6A">
              <w:rPr>
                <w:noProof/>
                <w:webHidden/>
              </w:rPr>
              <w:fldChar w:fldCharType="separate"/>
            </w:r>
            <w:r w:rsidR="00185227">
              <w:rPr>
                <w:noProof/>
                <w:webHidden/>
              </w:rPr>
              <w:t>3</w:t>
            </w:r>
            <w:r w:rsidR="00823F6A">
              <w:rPr>
                <w:noProof/>
                <w:webHidden/>
              </w:rPr>
              <w:fldChar w:fldCharType="end"/>
            </w:r>
          </w:hyperlink>
        </w:p>
        <w:p w14:paraId="4C41D05C" w14:textId="3D2BA214" w:rsidR="00823F6A" w:rsidRDefault="00F9502A">
          <w:pPr>
            <w:pStyle w:val="TOC2"/>
            <w:rPr>
              <w:rFonts w:asciiTheme="minorHAnsi" w:eastAsiaTheme="minorEastAsia" w:hAnsiTheme="minorHAnsi" w:cstheme="minorBidi"/>
              <w:noProof/>
              <w:lang w:eastAsia="en-AU"/>
            </w:rPr>
          </w:pPr>
          <w:hyperlink w:anchor="_Toc24364803" w:history="1">
            <w:r w:rsidR="00823F6A" w:rsidRPr="00EA4287">
              <w:rPr>
                <w:rStyle w:val="Hyperlink"/>
                <w:noProof/>
              </w:rPr>
              <w:t>Meeting the Challenges</w:t>
            </w:r>
            <w:r w:rsidR="00823F6A">
              <w:rPr>
                <w:noProof/>
                <w:webHidden/>
              </w:rPr>
              <w:tab/>
            </w:r>
            <w:r w:rsidR="00823F6A">
              <w:rPr>
                <w:noProof/>
                <w:webHidden/>
              </w:rPr>
              <w:fldChar w:fldCharType="begin"/>
            </w:r>
            <w:r w:rsidR="00823F6A">
              <w:rPr>
                <w:noProof/>
                <w:webHidden/>
              </w:rPr>
              <w:instrText xml:space="preserve"> PAGEREF _Toc24364803 \h </w:instrText>
            </w:r>
            <w:r w:rsidR="00823F6A">
              <w:rPr>
                <w:noProof/>
                <w:webHidden/>
              </w:rPr>
            </w:r>
            <w:r w:rsidR="00823F6A">
              <w:rPr>
                <w:noProof/>
                <w:webHidden/>
              </w:rPr>
              <w:fldChar w:fldCharType="separate"/>
            </w:r>
            <w:r w:rsidR="00185227">
              <w:rPr>
                <w:noProof/>
                <w:webHidden/>
              </w:rPr>
              <w:t>4</w:t>
            </w:r>
            <w:r w:rsidR="00823F6A">
              <w:rPr>
                <w:noProof/>
                <w:webHidden/>
              </w:rPr>
              <w:fldChar w:fldCharType="end"/>
            </w:r>
          </w:hyperlink>
        </w:p>
        <w:p w14:paraId="13E32447" w14:textId="62EB26C0" w:rsidR="00823F6A" w:rsidRDefault="00F9502A">
          <w:pPr>
            <w:pStyle w:val="TOC2"/>
            <w:rPr>
              <w:rFonts w:asciiTheme="minorHAnsi" w:eastAsiaTheme="minorEastAsia" w:hAnsiTheme="minorHAnsi" w:cstheme="minorBidi"/>
              <w:noProof/>
              <w:lang w:eastAsia="en-AU"/>
            </w:rPr>
          </w:pPr>
          <w:hyperlink w:anchor="_Toc24364804" w:history="1">
            <w:r w:rsidR="00823F6A" w:rsidRPr="00EA4287">
              <w:rPr>
                <w:rStyle w:val="Hyperlink"/>
                <w:noProof/>
              </w:rPr>
              <w:t>Implementing this Plan</w:t>
            </w:r>
            <w:r w:rsidR="00823F6A">
              <w:rPr>
                <w:noProof/>
                <w:webHidden/>
              </w:rPr>
              <w:tab/>
            </w:r>
            <w:r w:rsidR="00823F6A">
              <w:rPr>
                <w:noProof/>
                <w:webHidden/>
              </w:rPr>
              <w:fldChar w:fldCharType="begin"/>
            </w:r>
            <w:r w:rsidR="00823F6A">
              <w:rPr>
                <w:noProof/>
                <w:webHidden/>
              </w:rPr>
              <w:instrText xml:space="preserve"> PAGEREF _Toc24364804 \h </w:instrText>
            </w:r>
            <w:r w:rsidR="00823F6A">
              <w:rPr>
                <w:noProof/>
                <w:webHidden/>
              </w:rPr>
            </w:r>
            <w:r w:rsidR="00823F6A">
              <w:rPr>
                <w:noProof/>
                <w:webHidden/>
              </w:rPr>
              <w:fldChar w:fldCharType="separate"/>
            </w:r>
            <w:r w:rsidR="00185227">
              <w:rPr>
                <w:noProof/>
                <w:webHidden/>
              </w:rPr>
              <w:t>5</w:t>
            </w:r>
            <w:r w:rsidR="00823F6A">
              <w:rPr>
                <w:noProof/>
                <w:webHidden/>
              </w:rPr>
              <w:fldChar w:fldCharType="end"/>
            </w:r>
          </w:hyperlink>
        </w:p>
        <w:p w14:paraId="0BF37CE1" w14:textId="4928CD65" w:rsidR="00823F6A" w:rsidRDefault="00F9502A">
          <w:pPr>
            <w:pStyle w:val="TOC1"/>
            <w:rPr>
              <w:rFonts w:asciiTheme="minorHAnsi" w:eastAsiaTheme="minorEastAsia" w:hAnsiTheme="minorHAnsi" w:cstheme="minorBidi"/>
              <w:noProof/>
              <w:lang w:eastAsia="en-AU"/>
            </w:rPr>
          </w:pPr>
          <w:hyperlink w:anchor="_Toc24364805" w:history="1">
            <w:r w:rsidR="00823F6A" w:rsidRPr="00EA4287">
              <w:rPr>
                <w:rStyle w:val="Hyperlink"/>
                <w:noProof/>
              </w:rPr>
              <w:t>Attachment A – Action Plan</w:t>
            </w:r>
            <w:r w:rsidR="00823F6A">
              <w:rPr>
                <w:noProof/>
                <w:webHidden/>
              </w:rPr>
              <w:tab/>
            </w:r>
            <w:r w:rsidR="00823F6A">
              <w:rPr>
                <w:noProof/>
                <w:webHidden/>
              </w:rPr>
              <w:fldChar w:fldCharType="begin"/>
            </w:r>
            <w:r w:rsidR="00823F6A">
              <w:rPr>
                <w:noProof/>
                <w:webHidden/>
              </w:rPr>
              <w:instrText xml:space="preserve"> PAGEREF _Toc24364805 \h </w:instrText>
            </w:r>
            <w:r w:rsidR="00823F6A">
              <w:rPr>
                <w:noProof/>
                <w:webHidden/>
              </w:rPr>
            </w:r>
            <w:r w:rsidR="00823F6A">
              <w:rPr>
                <w:noProof/>
                <w:webHidden/>
              </w:rPr>
              <w:fldChar w:fldCharType="separate"/>
            </w:r>
            <w:r w:rsidR="00185227">
              <w:rPr>
                <w:noProof/>
                <w:webHidden/>
              </w:rPr>
              <w:t>6</w:t>
            </w:r>
            <w:r w:rsidR="00823F6A">
              <w:rPr>
                <w:noProof/>
                <w:webHidden/>
              </w:rPr>
              <w:fldChar w:fldCharType="end"/>
            </w:r>
          </w:hyperlink>
        </w:p>
        <w:p w14:paraId="319946FE" w14:textId="170A8959" w:rsidR="00F84EC7" w:rsidRPr="009E4426" w:rsidRDefault="00F84EC7">
          <w:r w:rsidRPr="009E4426">
            <w:rPr>
              <w:b/>
              <w:bCs/>
              <w:noProof/>
            </w:rPr>
            <w:fldChar w:fldCharType="end"/>
          </w:r>
        </w:p>
      </w:sdtContent>
    </w:sdt>
    <w:p w14:paraId="5AF7EC04" w14:textId="68D8F423" w:rsidR="00FA11F8" w:rsidRPr="009E4426" w:rsidRDefault="00FA11F8" w:rsidP="00F84EC7">
      <w:pPr>
        <w:pStyle w:val="UnnumberedHeading1"/>
        <w:pageBreakBefore/>
      </w:pPr>
      <w:bookmarkStart w:id="11" w:name="_Toc24364797"/>
      <w:r w:rsidRPr="009E4426">
        <w:lastRenderedPageBreak/>
        <w:t>Foreword</w:t>
      </w:r>
      <w:bookmarkEnd w:id="11"/>
    </w:p>
    <w:p w14:paraId="3EEF67FA" w14:textId="320BACA1" w:rsidR="00FC1FE0" w:rsidRDefault="00FC1FE0" w:rsidP="00FC1FE0">
      <w:r>
        <w:t xml:space="preserve">The mining and minerals </w:t>
      </w:r>
      <w:r w:rsidR="0062569C">
        <w:t>industry</w:t>
      </w:r>
      <w:r>
        <w:t xml:space="preserve"> in Tasmania accounts for approximately 50% of the state’s international earnings from exports. </w:t>
      </w:r>
      <w:r w:rsidR="004D1A51">
        <w:t xml:space="preserve"> </w:t>
      </w:r>
      <w:r>
        <w:t xml:space="preserve">The </w:t>
      </w:r>
      <w:r w:rsidR="0062569C">
        <w:t>industry</w:t>
      </w:r>
      <w:r>
        <w:t xml:space="preserve"> has a long history spanning over one hundred years and has been the backbone of </w:t>
      </w:r>
      <w:r w:rsidR="00DF4346">
        <w:t>several</w:t>
      </w:r>
      <w:r>
        <w:t xml:space="preserve"> regional communities as well as enabling generations of Tasmanians to prosper from careers in the mining and minerals </w:t>
      </w:r>
      <w:r w:rsidR="0062569C">
        <w:t>industry</w:t>
      </w:r>
      <w:r>
        <w:t>.</w:t>
      </w:r>
    </w:p>
    <w:p w14:paraId="438231BF" w14:textId="2E0A3162" w:rsidR="00FC1FE0" w:rsidRDefault="00FC1FE0" w:rsidP="00FC1FE0">
      <w:r>
        <w:t xml:space="preserve">The </w:t>
      </w:r>
      <w:r w:rsidR="0062569C">
        <w:t>industry</w:t>
      </w:r>
      <w:r>
        <w:t xml:space="preserve"> places solid demands on the supply chains, infrastructure and means to freight product from mines and minerals processors to market. </w:t>
      </w:r>
      <w:r w:rsidR="004D1A51">
        <w:t xml:space="preserve"> </w:t>
      </w:r>
      <w:r>
        <w:t xml:space="preserve">All of these continue to be improved to accommodate changing needs and therefore not act as a constraint on a continuation of a viable mining and minerals </w:t>
      </w:r>
      <w:r w:rsidR="0062569C">
        <w:t>industry</w:t>
      </w:r>
      <w:r>
        <w:t xml:space="preserve">. </w:t>
      </w:r>
      <w:r w:rsidR="004D1A51">
        <w:t xml:space="preserve"> </w:t>
      </w:r>
      <w:r>
        <w:t>The one critical constraint which can potentially make or break an operation is the ability to secure and retain a talented workforce.</w:t>
      </w:r>
    </w:p>
    <w:p w14:paraId="3F25D2F6" w14:textId="7185F1D8" w:rsidR="00FC1FE0" w:rsidRDefault="00FC1FE0" w:rsidP="00FC1FE0">
      <w:r>
        <w:t xml:space="preserve">While the </w:t>
      </w:r>
      <w:r w:rsidR="0062569C">
        <w:t>industry</w:t>
      </w:r>
      <w:r>
        <w:t xml:space="preserve"> continues to be an attractive employer, the development of new sectors and changing lifestyle expectations has created further challenges to attracting a diverse cohort of new entrants.</w:t>
      </w:r>
    </w:p>
    <w:p w14:paraId="7FF1FAC8" w14:textId="5F563EED" w:rsidR="00FC1FE0" w:rsidRDefault="00FC1FE0" w:rsidP="00FC1FE0">
      <w:r>
        <w:t>The Tasmanian Mining Industry Workforce Development Plan 2019</w:t>
      </w:r>
      <w:r w:rsidR="004D1A51">
        <w:t>-</w:t>
      </w:r>
      <w:r>
        <w:t xml:space="preserve">2022 has been a collaborative effort by multiple stakeholder representatives to derive a set of priorities which is essential to establishing a highly skilled and flexible workforce equipped for the technical, leadership and social process skill requirements. </w:t>
      </w:r>
      <w:r w:rsidR="004D1A51">
        <w:t xml:space="preserve"> </w:t>
      </w:r>
      <w:r>
        <w:t xml:space="preserve">This </w:t>
      </w:r>
      <w:r w:rsidR="004D1A51">
        <w:t>P</w:t>
      </w:r>
      <w:r>
        <w:t>lan is set against the context of community wide challenges such as numeracy, literacy, mental health and the dire need to be seen as an attractive employer to the full range of people who live in our communities.</w:t>
      </w:r>
    </w:p>
    <w:p w14:paraId="3D77BF7F" w14:textId="77777777" w:rsidR="00FC1FE0" w:rsidRDefault="00FC1FE0" w:rsidP="00FC1FE0">
      <w:r>
        <w:t>The Plan is not a document which tells others what they need to do, but one in which the industry itself proposes to take a lead role, in partnership with Government together with private and public enterprises to apply strategies to address the defined challenges.</w:t>
      </w:r>
    </w:p>
    <w:p w14:paraId="6D24A9D5" w14:textId="015F5791" w:rsidR="00FC1FE0" w:rsidRDefault="00FC1FE0" w:rsidP="00FC1FE0">
      <w:r>
        <w:t xml:space="preserve">I would like to express my appreciation to the Committee who have established this plan and now call on all stakeholders to participate in the positive and constructive changes we can make together to ensure a vibrant mining and minerals </w:t>
      </w:r>
      <w:r w:rsidR="0062569C">
        <w:t>industry</w:t>
      </w:r>
      <w:r>
        <w:t xml:space="preserve"> is secured in Tasmania for many years to come.</w:t>
      </w:r>
    </w:p>
    <w:p w14:paraId="5A46BE3F" w14:textId="66FD51B3" w:rsidR="00FC1FE0" w:rsidRDefault="00FC1FE0" w:rsidP="00FC1FE0"/>
    <w:p w14:paraId="1F341F90" w14:textId="5BDC5353" w:rsidR="00FC1FE0" w:rsidRDefault="00FC1FE0" w:rsidP="00FC1FE0">
      <w:r>
        <w:t>Ray Mostogl</w:t>
      </w:r>
    </w:p>
    <w:p w14:paraId="2E7574D0" w14:textId="4CF2B3AD" w:rsidR="00FC1FE0" w:rsidRDefault="00FC1FE0" w:rsidP="00FC1FE0">
      <w:r>
        <w:t>Chief Executive Officer</w:t>
      </w:r>
    </w:p>
    <w:p w14:paraId="5559FDB5" w14:textId="6CFD2070" w:rsidR="009E680E" w:rsidRPr="009E4426" w:rsidRDefault="00FC1FE0" w:rsidP="0029200E">
      <w:r>
        <w:t>Tasmanian Minerals, Manufacturing and Energy Council</w:t>
      </w:r>
    </w:p>
    <w:p w14:paraId="62900E67" w14:textId="7E774D12" w:rsidR="00260389" w:rsidRDefault="00260389" w:rsidP="00F84EC7">
      <w:pPr>
        <w:pStyle w:val="UnnumberedHeading1"/>
        <w:pageBreakBefore/>
      </w:pPr>
      <w:bookmarkStart w:id="12" w:name="_Toc24364798"/>
      <w:r w:rsidRPr="009E4426">
        <w:lastRenderedPageBreak/>
        <w:t>Executive Summary</w:t>
      </w:r>
      <w:bookmarkEnd w:id="12"/>
    </w:p>
    <w:p w14:paraId="09A750AC" w14:textId="23DE9EE1" w:rsidR="00273436" w:rsidRPr="00243C61" w:rsidRDefault="00273436" w:rsidP="00273436">
      <w:r>
        <w:t xml:space="preserve">Tasmania’s mining </w:t>
      </w:r>
      <w:r w:rsidR="001B235F">
        <w:t>industry</w:t>
      </w:r>
      <w:r>
        <w:t xml:space="preserve"> is a vital component of the State’s growing economy, </w:t>
      </w:r>
      <w:r w:rsidR="00241CA8">
        <w:t>with a production value of $1.82 billion</w:t>
      </w:r>
      <w:r>
        <w:t>, expenditure on operations and capital at close to $1 billion a year, a direct workforce of approximately 4000 people and generating another 10,000 indirect jobs in Tasmania.</w:t>
      </w:r>
      <w:r w:rsidR="00EF2E2D">
        <w:t xml:space="preserve">  </w:t>
      </w:r>
      <w:r>
        <w:t xml:space="preserve">The </w:t>
      </w:r>
      <w:r w:rsidR="001B235F">
        <w:t>industry</w:t>
      </w:r>
      <w:r>
        <w:t xml:space="preserve"> is expected to further develop with an </w:t>
      </w:r>
      <w:r w:rsidRPr="00243C61">
        <w:t>anticipated upturn in the international minerals market provid</w:t>
      </w:r>
      <w:r>
        <w:t>ing</w:t>
      </w:r>
      <w:r w:rsidRPr="00243C61">
        <w:t xml:space="preserve"> opportunities for </w:t>
      </w:r>
      <w:r w:rsidR="000E31DA">
        <w:t>its</w:t>
      </w:r>
      <w:r w:rsidRPr="00243C61">
        <w:t xml:space="preserve"> expansion in Tasmania, including additional job opportunities.</w:t>
      </w:r>
    </w:p>
    <w:p w14:paraId="12FD7C2F" w14:textId="26F36A38" w:rsidR="00253B4A" w:rsidRPr="00243C61" w:rsidRDefault="00253B4A" w:rsidP="00253B4A">
      <w:r>
        <w:t xml:space="preserve">Critical to the </w:t>
      </w:r>
      <w:r w:rsidR="001B235F">
        <w:t>industry</w:t>
      </w:r>
      <w:r>
        <w:t xml:space="preserve">’s continued growth and sustainability is continued </w:t>
      </w:r>
      <w:r w:rsidR="00273436">
        <w:t xml:space="preserve">access to a highly skilled and flexible workforce. </w:t>
      </w:r>
      <w:r>
        <w:t xml:space="preserve"> Into the future</w:t>
      </w:r>
      <w:r w:rsidR="004D1A51">
        <w:t>,</w:t>
      </w:r>
      <w:r>
        <w:t xml:space="preserve"> the ability of the </w:t>
      </w:r>
      <w:r w:rsidR="001B235F">
        <w:t>industry</w:t>
      </w:r>
      <w:r>
        <w:t xml:space="preserve"> to sustain and grow its workforce is likely to be impacted by </w:t>
      </w:r>
      <w:r w:rsidRPr="00243C61">
        <w:t xml:space="preserve">competition </w:t>
      </w:r>
      <w:r>
        <w:t>from t</w:t>
      </w:r>
      <w:r w:rsidRPr="00243C61">
        <w:t>he Battery of the Nation and Project Mari</w:t>
      </w:r>
      <w:r w:rsidR="004D1A51">
        <w:t>n</w:t>
      </w:r>
      <w:r w:rsidRPr="00243C61">
        <w:t>us projects</w:t>
      </w:r>
      <w:r w:rsidR="00EF2E2D">
        <w:t xml:space="preserve">, which are </w:t>
      </w:r>
      <w:r w:rsidRPr="00243C61">
        <w:t xml:space="preserve">being actively investigated and </w:t>
      </w:r>
      <w:r>
        <w:t xml:space="preserve">expected to </w:t>
      </w:r>
      <w:r w:rsidRPr="00243C61">
        <w:t>employ a combined estimate of 800 people.</w:t>
      </w:r>
    </w:p>
    <w:p w14:paraId="4F97C3DB" w14:textId="3D23ABDB" w:rsidR="0063022F" w:rsidRDefault="00E35E49" w:rsidP="0063022F">
      <w:r>
        <w:t>T</w:t>
      </w:r>
      <w:r w:rsidR="00253B4A" w:rsidRPr="00E40051">
        <w:t>h</w:t>
      </w:r>
      <w:r w:rsidR="00253B4A">
        <w:t>is</w:t>
      </w:r>
      <w:r w:rsidR="00253B4A" w:rsidRPr="00E40051">
        <w:t xml:space="preserve"> </w:t>
      </w:r>
      <w:r w:rsidR="00273436">
        <w:t xml:space="preserve">Workforce Development Plan </w:t>
      </w:r>
      <w:r w:rsidR="00253B4A">
        <w:t>is designed to</w:t>
      </w:r>
      <w:r w:rsidRPr="00E35E49">
        <w:t xml:space="preserve"> </w:t>
      </w:r>
      <w:r>
        <w:t>assist the industry meet its future workforce needs</w:t>
      </w:r>
      <w:r w:rsidR="00253B4A">
        <w:t xml:space="preserve"> </w:t>
      </w:r>
      <w:r>
        <w:t xml:space="preserve">by </w:t>
      </w:r>
      <w:r w:rsidR="00273436" w:rsidRPr="00E40051">
        <w:t>engag</w:t>
      </w:r>
      <w:r>
        <w:t>ing</w:t>
      </w:r>
      <w:r w:rsidR="00273436" w:rsidRPr="00E40051">
        <w:t xml:space="preserve"> </w:t>
      </w:r>
      <w:r w:rsidR="00273436">
        <w:t xml:space="preserve">critical industry stakeholders </w:t>
      </w:r>
      <w:r w:rsidR="00253B4A">
        <w:t xml:space="preserve">in </w:t>
      </w:r>
      <w:r w:rsidR="00273436">
        <w:t>a coordinated approach to workforce development, involving mining businesses, the education sector and the State Government.</w:t>
      </w:r>
      <w:r w:rsidR="0063022F">
        <w:t xml:space="preserve">  This Plan was been made possible by funding from the </w:t>
      </w:r>
      <w:r w:rsidR="00F9502A">
        <w:t xml:space="preserve">Australian </w:t>
      </w:r>
      <w:r w:rsidR="0063022F">
        <w:t>Government’s North-West Tasmania Job Ready Generation Package and support from the Tasmanian Government.</w:t>
      </w:r>
    </w:p>
    <w:p w14:paraId="4DB42037" w14:textId="1B266BDC" w:rsidR="00273436" w:rsidRDefault="00253B4A" w:rsidP="00273436">
      <w:r>
        <w:t>Th</w:t>
      </w:r>
      <w:r w:rsidR="00831FEA">
        <w:t>is</w:t>
      </w:r>
      <w:r>
        <w:t xml:space="preserve"> Plan </w:t>
      </w:r>
      <w:r w:rsidR="001801B1">
        <w:t>can</w:t>
      </w:r>
      <w:r>
        <w:t xml:space="preserve"> be </w:t>
      </w:r>
      <w:r w:rsidR="001801B1">
        <w:t>supported</w:t>
      </w:r>
      <w:r>
        <w:t xml:space="preserve"> by:</w:t>
      </w:r>
    </w:p>
    <w:p w14:paraId="5FC38922" w14:textId="6556DA6F" w:rsidR="00273436" w:rsidRPr="00243C61" w:rsidRDefault="00F9502A" w:rsidP="00273436">
      <w:pPr>
        <w:pStyle w:val="ListBullet"/>
      </w:pPr>
      <w:r w:rsidRPr="00F9502A">
        <w:t>The North-West Tasmania Job Ready Generation Package, which has provided funds for several other projects that may assist the mining industry.</w:t>
      </w:r>
    </w:p>
    <w:p w14:paraId="4C0D09E7" w14:textId="69CF5355" w:rsidR="00273436" w:rsidRDefault="00273436" w:rsidP="00273436">
      <w:pPr>
        <w:pStyle w:val="ListBullet"/>
      </w:pPr>
      <w:r w:rsidRPr="00243C61">
        <w:t>The Cradle Coast Regional Futures Plan 2019-2022</w:t>
      </w:r>
      <w:r w:rsidR="00831FEA">
        <w:t>, which</w:t>
      </w:r>
      <w:r w:rsidRPr="00243C61">
        <w:t xml:space="preserve"> aims to boost regional growth and foster a resilient economy through improving education attainment, innovation and internal and external perception of Cradle Coast </w:t>
      </w:r>
      <w:r w:rsidR="0062569C" w:rsidRPr="00243C61">
        <w:t>regarding</w:t>
      </w:r>
      <w:r w:rsidRPr="00243C61">
        <w:t xml:space="preserve"> employment opportunities.</w:t>
      </w:r>
    </w:p>
    <w:p w14:paraId="78A83D4D" w14:textId="2584BD65" w:rsidR="00831FEA" w:rsidRDefault="00273436" w:rsidP="00273436">
      <w:r>
        <w:t xml:space="preserve">Developing this Plan involved </w:t>
      </w:r>
      <w:r w:rsidR="00831FEA">
        <w:t xml:space="preserve">identifying the strategies shown in Table E1 to resolve </w:t>
      </w:r>
      <w:r>
        <w:t xml:space="preserve">workforce issues </w:t>
      </w:r>
      <w:r w:rsidR="00831FEA">
        <w:t xml:space="preserve">and the challenges they pose for </w:t>
      </w:r>
      <w:r>
        <w:t>the industry.</w:t>
      </w:r>
    </w:p>
    <w:p w14:paraId="6944B5B8" w14:textId="63F5155A" w:rsidR="00831FEA" w:rsidRDefault="00831FEA" w:rsidP="00831FEA">
      <w:pPr>
        <w:pStyle w:val="Caption"/>
      </w:pPr>
      <w:r>
        <w:t xml:space="preserve">Table E1: Strategies for addressing identified workforce challenges </w:t>
      </w:r>
    </w:p>
    <w:tbl>
      <w:tblPr>
        <w:tblStyle w:val="ListTable4-Accent11"/>
        <w:tblW w:w="0" w:type="auto"/>
        <w:tblLook w:val="04A0" w:firstRow="1" w:lastRow="0" w:firstColumn="1" w:lastColumn="0" w:noHBand="0" w:noVBand="1"/>
      </w:tblPr>
      <w:tblGrid>
        <w:gridCol w:w="9209"/>
      </w:tblGrid>
      <w:tr w:rsidR="000E31DA" w14:paraId="04D8045E" w14:textId="77777777" w:rsidTr="000E31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09" w:type="dxa"/>
          </w:tcPr>
          <w:p w14:paraId="28FBAB32" w14:textId="77777777" w:rsidR="000E31DA" w:rsidRDefault="000E31DA" w:rsidP="00FC1FE0">
            <w:pPr>
              <w:pStyle w:val="TableHeading"/>
            </w:pPr>
            <w:r>
              <w:t>Strategy</w:t>
            </w:r>
          </w:p>
        </w:tc>
      </w:tr>
      <w:tr w:rsidR="000E31DA" w14:paraId="08592239" w14:textId="77777777" w:rsidTr="000E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C00000"/>
          </w:tcPr>
          <w:p w14:paraId="6E2C4C4F" w14:textId="77777777" w:rsidR="000E31DA" w:rsidRPr="00BE2111" w:rsidRDefault="000E31DA" w:rsidP="00FC1FE0">
            <w:pPr>
              <w:pStyle w:val="TableText"/>
            </w:pPr>
            <w:r w:rsidRPr="00D13819">
              <w:rPr>
                <w:b w:val="0"/>
                <w:bCs w:val="0"/>
                <w:color w:val="FFFFFF" w:themeColor="background1"/>
              </w:rPr>
              <w:t>Immediate Priority</w:t>
            </w:r>
          </w:p>
        </w:tc>
      </w:tr>
      <w:tr w:rsidR="000E31DA" w14:paraId="51365C32" w14:textId="77777777" w:rsidTr="000E31DA">
        <w:tc>
          <w:tcPr>
            <w:cnfStyle w:val="001000000000" w:firstRow="0" w:lastRow="0" w:firstColumn="1" w:lastColumn="0" w:oddVBand="0" w:evenVBand="0" w:oddHBand="0" w:evenHBand="0" w:firstRowFirstColumn="0" w:firstRowLastColumn="0" w:lastRowFirstColumn="0" w:lastRowLastColumn="0"/>
            <w:tcW w:w="9209" w:type="dxa"/>
            <w:shd w:val="clear" w:color="auto" w:fill="D9E2F3" w:themeFill="accent1" w:themeFillTint="33"/>
          </w:tcPr>
          <w:p w14:paraId="5E829735" w14:textId="77777777" w:rsidR="000E31DA" w:rsidRPr="00BE2111" w:rsidRDefault="000E31DA" w:rsidP="00FC1FE0">
            <w:pPr>
              <w:pStyle w:val="TableText"/>
              <w:rPr>
                <w:b w:val="0"/>
                <w:bCs w:val="0"/>
              </w:rPr>
            </w:pPr>
            <w:r w:rsidRPr="00BE2111">
              <w:rPr>
                <w:b w:val="0"/>
                <w:bCs w:val="0"/>
              </w:rPr>
              <w:t>Establish an ongoing Tasmanian mining industry Workforce Development Group to progress the strategies and actions of this Plan and to discuss future workforce issues as they arise</w:t>
            </w:r>
          </w:p>
        </w:tc>
      </w:tr>
      <w:tr w:rsidR="000E31DA" w14:paraId="75C5F6BB" w14:textId="77777777" w:rsidTr="00F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D7BD9E2" w14:textId="77777777" w:rsidR="000E31DA" w:rsidRPr="009C097B" w:rsidRDefault="000E31DA" w:rsidP="00FC1FE0">
            <w:pPr>
              <w:pStyle w:val="TableText"/>
              <w:rPr>
                <w:b w:val="0"/>
                <w:bCs w:val="0"/>
              </w:rPr>
            </w:pPr>
            <w:r w:rsidRPr="00FC1FE0">
              <w:rPr>
                <w:b w:val="0"/>
                <w:bCs w:val="0"/>
              </w:rPr>
              <w:t>Develop initiatives that will attract workers into the Tasmanian mining industry</w:t>
            </w:r>
          </w:p>
        </w:tc>
      </w:tr>
      <w:tr w:rsidR="000E31DA" w14:paraId="6B33769C" w14:textId="77777777" w:rsidTr="00FC1FE0">
        <w:tc>
          <w:tcPr>
            <w:cnfStyle w:val="001000000000" w:firstRow="0" w:lastRow="0" w:firstColumn="1" w:lastColumn="0" w:oddVBand="0" w:evenVBand="0" w:oddHBand="0" w:evenHBand="0" w:firstRowFirstColumn="0" w:firstRowLastColumn="0" w:lastRowFirstColumn="0" w:lastRowLastColumn="0"/>
            <w:tcW w:w="9209" w:type="dxa"/>
            <w:shd w:val="clear" w:color="auto" w:fill="D9E2F3" w:themeFill="accent1" w:themeFillTint="33"/>
          </w:tcPr>
          <w:p w14:paraId="469752D4" w14:textId="77777777" w:rsidR="000E31DA" w:rsidRPr="00BE2111" w:rsidRDefault="000E31DA" w:rsidP="00FC1FE0">
            <w:pPr>
              <w:pStyle w:val="TableText"/>
              <w:rPr>
                <w:b w:val="0"/>
                <w:bCs w:val="0"/>
              </w:rPr>
            </w:pPr>
            <w:r w:rsidRPr="00BE2111">
              <w:rPr>
                <w:b w:val="0"/>
                <w:bCs w:val="0"/>
              </w:rPr>
              <w:t>Develop job readiness training that can be undertaken before entering mining sites to ensure that new workforce entrants are both appropriate and capable</w:t>
            </w:r>
          </w:p>
        </w:tc>
      </w:tr>
      <w:tr w:rsidR="000E31DA" w14:paraId="0393DDE5" w14:textId="77777777" w:rsidTr="00F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305A2972" w14:textId="77777777" w:rsidR="000E31DA" w:rsidRPr="00BE2111" w:rsidRDefault="000E31DA" w:rsidP="00FC1FE0">
            <w:pPr>
              <w:pStyle w:val="TableText"/>
              <w:rPr>
                <w:b w:val="0"/>
                <w:bCs w:val="0"/>
              </w:rPr>
            </w:pPr>
            <w:r w:rsidRPr="00BE2111">
              <w:rPr>
                <w:b w:val="0"/>
                <w:bCs w:val="0"/>
              </w:rPr>
              <w:t>Encourage close collaboration between industry and education providers / training organisations</w:t>
            </w:r>
          </w:p>
        </w:tc>
      </w:tr>
      <w:tr w:rsidR="000E31DA" w14:paraId="27B6C282" w14:textId="77777777" w:rsidTr="000E31DA">
        <w:tc>
          <w:tcPr>
            <w:cnfStyle w:val="001000000000" w:firstRow="0" w:lastRow="0" w:firstColumn="1" w:lastColumn="0" w:oddVBand="0" w:evenVBand="0" w:oddHBand="0" w:evenHBand="0" w:firstRowFirstColumn="0" w:firstRowLastColumn="0" w:lastRowFirstColumn="0" w:lastRowLastColumn="0"/>
            <w:tcW w:w="9209" w:type="dxa"/>
            <w:shd w:val="clear" w:color="auto" w:fill="7030A0"/>
          </w:tcPr>
          <w:p w14:paraId="5AB445E0" w14:textId="77777777" w:rsidR="000E31DA" w:rsidRPr="00D13819" w:rsidRDefault="000E31DA" w:rsidP="00FC1FE0">
            <w:pPr>
              <w:pStyle w:val="TableText"/>
              <w:rPr>
                <w:color w:val="FFFFFF" w:themeColor="background1"/>
              </w:rPr>
            </w:pPr>
            <w:r w:rsidRPr="00D13819">
              <w:rPr>
                <w:b w:val="0"/>
                <w:bCs w:val="0"/>
                <w:color w:val="FFFFFF" w:themeColor="background1"/>
              </w:rPr>
              <w:t>Medium Term Priority</w:t>
            </w:r>
          </w:p>
        </w:tc>
      </w:tr>
      <w:tr w:rsidR="000E31DA" w14:paraId="0B00420C" w14:textId="77777777" w:rsidTr="000E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950C2DB" w14:textId="77777777" w:rsidR="000E31DA" w:rsidRPr="00BE2111" w:rsidRDefault="000E31DA" w:rsidP="00FC1FE0">
            <w:pPr>
              <w:pStyle w:val="TableText"/>
              <w:rPr>
                <w:b w:val="0"/>
                <w:bCs w:val="0"/>
              </w:rPr>
            </w:pPr>
            <w:r w:rsidRPr="00BE2111">
              <w:rPr>
                <w:b w:val="0"/>
                <w:bCs w:val="0"/>
              </w:rPr>
              <w:t>Improve the language, literacy and numeracy standards of the workforce</w:t>
            </w:r>
          </w:p>
        </w:tc>
      </w:tr>
      <w:tr w:rsidR="000E31DA" w14:paraId="6AAD89FE" w14:textId="77777777" w:rsidTr="000E31DA">
        <w:tc>
          <w:tcPr>
            <w:cnfStyle w:val="001000000000" w:firstRow="0" w:lastRow="0" w:firstColumn="1" w:lastColumn="0" w:oddVBand="0" w:evenVBand="0" w:oddHBand="0" w:evenHBand="0" w:firstRowFirstColumn="0" w:firstRowLastColumn="0" w:lastRowFirstColumn="0" w:lastRowLastColumn="0"/>
            <w:tcW w:w="9209" w:type="dxa"/>
            <w:shd w:val="clear" w:color="auto" w:fill="385623" w:themeFill="accent6" w:themeFillShade="80"/>
          </w:tcPr>
          <w:p w14:paraId="23F27DE2" w14:textId="77777777" w:rsidR="000E31DA" w:rsidRPr="00D13819" w:rsidRDefault="000E31DA" w:rsidP="00FC1FE0">
            <w:pPr>
              <w:pStyle w:val="TableText"/>
              <w:rPr>
                <w:color w:val="FFFFFF" w:themeColor="background1"/>
              </w:rPr>
            </w:pPr>
            <w:r w:rsidRPr="00D13819">
              <w:rPr>
                <w:b w:val="0"/>
                <w:bCs w:val="0"/>
                <w:color w:val="FFFFFF" w:themeColor="background1"/>
              </w:rPr>
              <w:t>Longer Term Priority</w:t>
            </w:r>
          </w:p>
        </w:tc>
      </w:tr>
      <w:tr w:rsidR="000E31DA" w14:paraId="21560512" w14:textId="77777777" w:rsidTr="00F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1E93B7BB" w14:textId="6ACF8A12" w:rsidR="000E31DA" w:rsidRPr="00BE2111" w:rsidRDefault="009A031A" w:rsidP="000E31DA">
            <w:pPr>
              <w:pStyle w:val="TableText"/>
              <w:rPr>
                <w:b w:val="0"/>
                <w:bCs w:val="0"/>
              </w:rPr>
            </w:pPr>
            <w:r w:rsidRPr="0062569C">
              <w:rPr>
                <w:b w:val="0"/>
                <w:bCs w:val="0"/>
              </w:rPr>
              <w:t>Support entry to the industry at all levels</w:t>
            </w:r>
            <w:r w:rsidR="000E31DA" w:rsidRPr="0062569C">
              <w:rPr>
                <w:b w:val="0"/>
                <w:bCs w:val="0"/>
              </w:rPr>
              <w:t xml:space="preserve"> by developing occupational career pathways</w:t>
            </w:r>
          </w:p>
        </w:tc>
      </w:tr>
      <w:tr w:rsidR="000E31DA" w14:paraId="09546D3F" w14:textId="77777777" w:rsidTr="00FC1FE0">
        <w:tc>
          <w:tcPr>
            <w:cnfStyle w:val="001000000000" w:firstRow="0" w:lastRow="0" w:firstColumn="1" w:lastColumn="0" w:oddVBand="0" w:evenVBand="0" w:oddHBand="0" w:evenHBand="0" w:firstRowFirstColumn="0" w:firstRowLastColumn="0" w:lastRowFirstColumn="0" w:lastRowLastColumn="0"/>
            <w:tcW w:w="9209" w:type="dxa"/>
            <w:shd w:val="clear" w:color="auto" w:fill="D9E2F3" w:themeFill="accent1" w:themeFillTint="33"/>
          </w:tcPr>
          <w:p w14:paraId="7C0D567B" w14:textId="77777777" w:rsidR="000E31DA" w:rsidRPr="00BE2111" w:rsidRDefault="000E31DA" w:rsidP="00FC1FE0">
            <w:pPr>
              <w:pStyle w:val="TableText"/>
              <w:rPr>
                <w:b w:val="0"/>
                <w:bCs w:val="0"/>
              </w:rPr>
            </w:pPr>
            <w:r w:rsidRPr="00BE2111">
              <w:rPr>
                <w:b w:val="0"/>
                <w:bCs w:val="0"/>
              </w:rPr>
              <w:t>Support continuous mining workforce learning and improvement</w:t>
            </w:r>
          </w:p>
        </w:tc>
      </w:tr>
      <w:tr w:rsidR="000E31DA" w14:paraId="211538D2" w14:textId="77777777" w:rsidTr="00F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6EFC396" w14:textId="77777777" w:rsidR="000E31DA" w:rsidRPr="00BE2111" w:rsidRDefault="000E31DA" w:rsidP="00FC1FE0">
            <w:pPr>
              <w:pStyle w:val="TableText"/>
              <w:rPr>
                <w:b w:val="0"/>
                <w:bCs w:val="0"/>
              </w:rPr>
            </w:pPr>
            <w:r w:rsidRPr="00BE2111">
              <w:rPr>
                <w:b w:val="0"/>
                <w:bCs w:val="0"/>
              </w:rPr>
              <w:t>Ensure that industry effectively influences national training package development to ensure its skills needs are met</w:t>
            </w:r>
          </w:p>
        </w:tc>
      </w:tr>
    </w:tbl>
    <w:p w14:paraId="5A8F2DA3" w14:textId="06621B2F" w:rsidR="00396E57" w:rsidRDefault="0063022F" w:rsidP="00273436">
      <w:r>
        <w:lastRenderedPageBreak/>
        <w:t xml:space="preserve">This Plan </w:t>
      </w:r>
      <w:r w:rsidR="0093718B">
        <w:t xml:space="preserve">sets out the agreed priorities and actions required to implement the strategies.  It outlines </w:t>
      </w:r>
      <w:r w:rsidR="00273436">
        <w:t>who will do what by when and is designed to deliver the opportunities and workforce skill needs of the workforce into the future.</w:t>
      </w:r>
    </w:p>
    <w:p w14:paraId="017DCBA7" w14:textId="60597970" w:rsidR="00273436" w:rsidRDefault="00273436" w:rsidP="00273436">
      <w:r>
        <w:t>As the Tasmanian mining industry’s first foray into industry-led workforce development, th</w:t>
      </w:r>
      <w:r w:rsidR="00831FEA">
        <w:t>e Action</w:t>
      </w:r>
      <w:r>
        <w:t xml:space="preserve"> Plan prioritises the agreed actions as follows:</w:t>
      </w:r>
    </w:p>
    <w:p w14:paraId="129E7FC1" w14:textId="77777777" w:rsidR="00273436" w:rsidRDefault="00273436" w:rsidP="00273436">
      <w:pPr>
        <w:pStyle w:val="ListBullet"/>
      </w:pPr>
      <w:r>
        <w:t>Immediate: 0-24 months</w:t>
      </w:r>
    </w:p>
    <w:p w14:paraId="6597C3DC" w14:textId="77777777" w:rsidR="00273436" w:rsidRDefault="00273436" w:rsidP="00273436">
      <w:pPr>
        <w:pStyle w:val="ListBullet"/>
      </w:pPr>
      <w:r>
        <w:t>Medium term: 12-36 months</w:t>
      </w:r>
    </w:p>
    <w:p w14:paraId="0A41CA55" w14:textId="77777777" w:rsidR="00273436" w:rsidRDefault="00273436" w:rsidP="00273436">
      <w:pPr>
        <w:pStyle w:val="ListBullet"/>
      </w:pPr>
      <w:r>
        <w:t>Longer term: greater than 36 months.</w:t>
      </w:r>
    </w:p>
    <w:p w14:paraId="18FBD894" w14:textId="2B4293AE" w:rsidR="00273436" w:rsidRPr="00D30475" w:rsidRDefault="00273436" w:rsidP="00273436">
      <w:r>
        <w:t xml:space="preserve">This </w:t>
      </w:r>
      <w:r w:rsidR="0093718B">
        <w:t xml:space="preserve">staged approach </w:t>
      </w:r>
      <w:r>
        <w:t>will allow the industry to effectively use its resources to achieve initial successes, with subsequent actions then building on those successes.</w:t>
      </w:r>
    </w:p>
    <w:p w14:paraId="3B788272" w14:textId="77777777" w:rsidR="00273436" w:rsidRDefault="00273436" w:rsidP="00273436">
      <w:pPr>
        <w:pStyle w:val="UnnumberedHeading2"/>
      </w:pPr>
      <w:bookmarkStart w:id="13" w:name="_Toc24356557"/>
      <w:bookmarkStart w:id="14" w:name="_Toc24364799"/>
      <w:r>
        <w:t>Implementing this Plan</w:t>
      </w:r>
      <w:bookmarkEnd w:id="13"/>
      <w:bookmarkEnd w:id="14"/>
    </w:p>
    <w:p w14:paraId="193123F0" w14:textId="5D52270C" w:rsidR="00273436" w:rsidRPr="00BC6697" w:rsidRDefault="00831FEA" w:rsidP="00273436">
      <w:r w:rsidRPr="00BC6697">
        <w:t xml:space="preserve">A </w:t>
      </w:r>
      <w:r w:rsidR="00273436" w:rsidRPr="00BC6697">
        <w:t xml:space="preserve">Tasmanian mining industry Workforce Development Group </w:t>
      </w:r>
      <w:r w:rsidR="0093718B">
        <w:t xml:space="preserve">comprising leading industry members </w:t>
      </w:r>
      <w:r>
        <w:t xml:space="preserve">will be established </w:t>
      </w:r>
      <w:r w:rsidR="00273436" w:rsidRPr="00BC6697">
        <w:t>to</w:t>
      </w:r>
      <w:r>
        <w:t>:</w:t>
      </w:r>
    </w:p>
    <w:p w14:paraId="749E4688" w14:textId="77777777" w:rsidR="004D1A51" w:rsidRDefault="004D1A51" w:rsidP="004D1A51">
      <w:pPr>
        <w:pStyle w:val="ListBullet"/>
      </w:pPr>
      <w:r w:rsidRPr="00BC6697">
        <w:t>Oversee the implementation of this Plan</w:t>
      </w:r>
    </w:p>
    <w:p w14:paraId="7704C830" w14:textId="77777777" w:rsidR="004D1A51" w:rsidRPr="00BC6697" w:rsidRDefault="004D1A51" w:rsidP="004D1A51">
      <w:pPr>
        <w:pStyle w:val="ListBullet"/>
      </w:pPr>
      <w:r>
        <w:t>Identify the resources required to support this Plan’s implementation</w:t>
      </w:r>
    </w:p>
    <w:p w14:paraId="0D80D226" w14:textId="77777777" w:rsidR="004D1A51" w:rsidRPr="00BC6697" w:rsidRDefault="004D1A51" w:rsidP="004D1A51">
      <w:pPr>
        <w:pStyle w:val="ListBullet"/>
      </w:pPr>
      <w:r w:rsidRPr="00BC6697">
        <w:t>Engage with appropriate stakeholders who can lead or support the implementation of each action</w:t>
      </w:r>
    </w:p>
    <w:p w14:paraId="611819AF" w14:textId="220AC742" w:rsidR="004D1A51" w:rsidRPr="00BC6697" w:rsidRDefault="004D1A51" w:rsidP="004D1A51">
      <w:pPr>
        <w:pStyle w:val="ListBullet"/>
      </w:pPr>
      <w:r w:rsidRPr="00BC6697">
        <w:t>Maintain and update, through regular review, this Plan and the associated Workforce Profile.</w:t>
      </w:r>
    </w:p>
    <w:p w14:paraId="2B2894A1" w14:textId="5C6A778A" w:rsidR="00273436" w:rsidRDefault="00273436" w:rsidP="00273436">
      <w:r w:rsidRPr="001C3E84">
        <w:t xml:space="preserve">The Tasmanian Minerals, Manufacturing and Energy Council (TMEC) </w:t>
      </w:r>
      <w:r w:rsidR="0093718B" w:rsidRPr="001C3E84">
        <w:t xml:space="preserve">will </w:t>
      </w:r>
      <w:r w:rsidRPr="001C3E84">
        <w:t>conven</w:t>
      </w:r>
      <w:r w:rsidR="0093718B" w:rsidRPr="001C3E84">
        <w:t>e</w:t>
      </w:r>
      <w:r w:rsidRPr="001C3E84">
        <w:t xml:space="preserve"> and support the Workforce Development Group.</w:t>
      </w:r>
    </w:p>
    <w:p w14:paraId="2EC453E9" w14:textId="7B78D134" w:rsidR="00273436" w:rsidRDefault="00273436" w:rsidP="00273436">
      <w:r w:rsidRPr="00BC6697">
        <w:t xml:space="preserve">This Plan </w:t>
      </w:r>
      <w:r w:rsidR="0093718B">
        <w:t xml:space="preserve">will be </w:t>
      </w:r>
      <w:r w:rsidRPr="00BC6697">
        <w:t xml:space="preserve">a living document that is </w:t>
      </w:r>
      <w:r w:rsidR="0093718B">
        <w:t xml:space="preserve">reviewed annually and </w:t>
      </w:r>
      <w:r w:rsidRPr="00BC6697">
        <w:t>updated with new challenges, strategies and actions in response to emerging workforce issues.</w:t>
      </w:r>
    </w:p>
    <w:p w14:paraId="6369DB6B" w14:textId="77777777" w:rsidR="00E40051" w:rsidRPr="009E4426" w:rsidRDefault="00E40051" w:rsidP="00396E57"/>
    <w:p w14:paraId="1ABF5F7D" w14:textId="77777777" w:rsidR="00313D4E" w:rsidRPr="009E4426" w:rsidRDefault="00313D4E" w:rsidP="00706053">
      <w:pPr>
        <w:pStyle w:val="Title"/>
        <w:sectPr w:rsidR="00313D4E" w:rsidRPr="009E4426" w:rsidSect="004E434E">
          <w:headerReference w:type="even" r:id="rId10"/>
          <w:headerReference w:type="default" r:id="rId11"/>
          <w:footerReference w:type="default" r:id="rId12"/>
          <w:headerReference w:type="first" r:id="rId13"/>
          <w:footerReference w:type="first" r:id="rId14"/>
          <w:type w:val="continuous"/>
          <w:pgSz w:w="11899" w:h="16838"/>
          <w:pgMar w:top="1418" w:right="1134" w:bottom="567" w:left="1134" w:header="567" w:footer="851" w:gutter="0"/>
          <w:pgNumType w:fmt="lowerRoman" w:start="0"/>
          <w:cols w:space="708"/>
          <w:titlePg/>
          <w:docGrid w:linePitch="299"/>
        </w:sectPr>
      </w:pPr>
    </w:p>
    <w:p w14:paraId="50C1BE74" w14:textId="70C04C62" w:rsidR="0029200E" w:rsidRDefault="00903431" w:rsidP="00706053">
      <w:pPr>
        <w:pStyle w:val="Heading1"/>
      </w:pPr>
      <w:bookmarkStart w:id="15" w:name="_Toc24364800"/>
      <w:r>
        <w:lastRenderedPageBreak/>
        <w:t>Tasmania</w:t>
      </w:r>
      <w:r w:rsidR="005D12FE">
        <w:t>’s</w:t>
      </w:r>
      <w:r>
        <w:t xml:space="preserve"> Mining Industry</w:t>
      </w:r>
      <w:r w:rsidR="002956FC">
        <w:t xml:space="preserve"> is </w:t>
      </w:r>
      <w:r w:rsidR="006A26F6">
        <w:t>G</w:t>
      </w:r>
      <w:r w:rsidR="002956FC">
        <w:t>rowing</w:t>
      </w:r>
      <w:bookmarkEnd w:id="15"/>
    </w:p>
    <w:p w14:paraId="41F285FD" w14:textId="74A3FFE5" w:rsidR="00DE3393" w:rsidRDefault="00DE3393" w:rsidP="00DE3393">
      <w:r>
        <w:t xml:space="preserve">The mining </w:t>
      </w:r>
      <w:r w:rsidR="001B235F">
        <w:t xml:space="preserve">industry </w:t>
      </w:r>
      <w:r>
        <w:t xml:space="preserve">is a vital component to Tasmania’s growing economy.  </w:t>
      </w:r>
      <w:r w:rsidR="001C3E84">
        <w:t>Mining and metallurgical production reached a value of $1.82 billion in 2017 and Tasmania’s two biggest commodity exports in 2018 were processed metals and metal products and ores and concentrates.  E</w:t>
      </w:r>
      <w:r>
        <w:t>xpenditure on operations and capital is close to $1 billion a year</w:t>
      </w:r>
      <w:r w:rsidR="001C3E84">
        <w:t xml:space="preserve">, </w:t>
      </w:r>
      <w:r>
        <w:t xml:space="preserve">has a workforce of </w:t>
      </w:r>
      <w:r w:rsidR="00293C2F">
        <w:t>approximately 4000</w:t>
      </w:r>
      <w:r>
        <w:t xml:space="preserve"> people </w:t>
      </w:r>
      <w:r w:rsidRPr="006A0024">
        <w:t>and generates another 10,000 indirect jobs</w:t>
      </w:r>
      <w:r>
        <w:t xml:space="preserve"> in Tasmania.</w:t>
      </w:r>
    </w:p>
    <w:p w14:paraId="554BDB14" w14:textId="5DFC17AE" w:rsidR="006964C9" w:rsidRDefault="00DE3393" w:rsidP="00DE3393">
      <w:r>
        <w:t xml:space="preserve">Continued access to a highly skilled and flexible workforce is critical for the continued growth and sustainability of the </w:t>
      </w:r>
      <w:r w:rsidR="003B4AF1">
        <w:t>industry</w:t>
      </w:r>
      <w:r>
        <w:t xml:space="preserve">.  </w:t>
      </w:r>
      <w:r w:rsidR="00D30475" w:rsidRPr="00E40051">
        <w:t>Th</w:t>
      </w:r>
      <w:r w:rsidR="00D30475">
        <w:t>is</w:t>
      </w:r>
      <w:r w:rsidR="00D30475" w:rsidRPr="00E40051">
        <w:t xml:space="preserve"> </w:t>
      </w:r>
      <w:r w:rsidR="006964C9">
        <w:t xml:space="preserve">Workforce Development Plan (this Plan) </w:t>
      </w:r>
      <w:r w:rsidR="00D30475">
        <w:t>aims</w:t>
      </w:r>
      <w:r w:rsidR="006964C9" w:rsidRPr="00E40051">
        <w:t xml:space="preserve"> to engage </w:t>
      </w:r>
      <w:r w:rsidR="00715FC9">
        <w:t xml:space="preserve">critical industry stakeholders in </w:t>
      </w:r>
      <w:r w:rsidR="006964C9" w:rsidRPr="00E40051">
        <w:t>support</w:t>
      </w:r>
      <w:r w:rsidR="00715FC9">
        <w:t>ing</w:t>
      </w:r>
      <w:r w:rsidR="006964C9" w:rsidRPr="00E40051">
        <w:t xml:space="preserve"> </w:t>
      </w:r>
      <w:r w:rsidR="00424A78">
        <w:t xml:space="preserve">the development and maintenance of </w:t>
      </w:r>
      <w:r w:rsidR="006964C9" w:rsidRPr="00E40051">
        <w:t xml:space="preserve">a mining workforce that will </w:t>
      </w:r>
      <w:r w:rsidR="00424A78">
        <w:t>contribute to</w:t>
      </w:r>
      <w:r w:rsidR="006964C9" w:rsidRPr="00E40051">
        <w:t xml:space="preserve"> Tasmania’s ongoing economic and social prosperity.</w:t>
      </w:r>
      <w:r w:rsidR="00715FC9">
        <w:t xml:space="preserve">  Accordingly, </w:t>
      </w:r>
      <w:r w:rsidR="00424A78">
        <w:t xml:space="preserve">this </w:t>
      </w:r>
      <w:r>
        <w:t>Plan is designed to support a coordinated industry approach to workforce development, involving mining businesses, the education sector and the State Government.</w:t>
      </w:r>
    </w:p>
    <w:p w14:paraId="1CC6A526" w14:textId="459190E9" w:rsidR="003B4AF1" w:rsidRDefault="00715FC9" w:rsidP="003B4AF1">
      <w:r>
        <w:t>Developing</w:t>
      </w:r>
      <w:r w:rsidR="003C1A02">
        <w:t xml:space="preserve"> t</w:t>
      </w:r>
      <w:r w:rsidR="00DE3393">
        <w:t>h</w:t>
      </w:r>
      <w:r w:rsidR="00EC2BA8">
        <w:t>is Plan (</w:t>
      </w:r>
      <w:r w:rsidR="003C1A02">
        <w:t xml:space="preserve">see </w:t>
      </w:r>
      <w:r w:rsidR="00DC3300">
        <w:fldChar w:fldCharType="begin"/>
      </w:r>
      <w:r w:rsidR="00DC3300">
        <w:instrText xml:space="preserve"> REF _Ref22551640 \h </w:instrText>
      </w:r>
      <w:r w:rsidR="00DC3300">
        <w:fldChar w:fldCharType="separate"/>
      </w:r>
      <w:r w:rsidR="00185227">
        <w:t xml:space="preserve">Figure </w:t>
      </w:r>
      <w:r w:rsidR="00185227">
        <w:rPr>
          <w:noProof/>
        </w:rPr>
        <w:t>1</w:t>
      </w:r>
      <w:r w:rsidR="00DC3300">
        <w:fldChar w:fldCharType="end"/>
      </w:r>
      <w:r w:rsidR="00EC2BA8">
        <w:t xml:space="preserve">) </w:t>
      </w:r>
      <w:r w:rsidR="003C1A02">
        <w:t>involved identifying</w:t>
      </w:r>
      <w:r w:rsidR="003B4AF1">
        <w:t xml:space="preserve"> the </w:t>
      </w:r>
      <w:r w:rsidR="003C1A02">
        <w:t xml:space="preserve">workforce issues facing the industry and the subsequent </w:t>
      </w:r>
      <w:r w:rsidR="003B4AF1">
        <w:t xml:space="preserve">challenges </w:t>
      </w:r>
      <w:r w:rsidR="003C1A02">
        <w:t xml:space="preserve">it </w:t>
      </w:r>
      <w:r w:rsidR="003B4AF1">
        <w:t>fac</w:t>
      </w:r>
      <w:r w:rsidR="003C1A02">
        <w:t>es.</w:t>
      </w:r>
      <w:r w:rsidR="003B4AF1">
        <w:t xml:space="preserve"> </w:t>
      </w:r>
      <w:r w:rsidR="00D30475">
        <w:t xml:space="preserve"> </w:t>
      </w:r>
      <w:r w:rsidR="003C1A02">
        <w:t xml:space="preserve">The </w:t>
      </w:r>
      <w:r w:rsidR="003B4AF1">
        <w:t xml:space="preserve">strategies </w:t>
      </w:r>
      <w:r w:rsidR="003C1A02">
        <w:t>and the consequent actions required to implement them were then agreed and prioritised</w:t>
      </w:r>
      <w:r>
        <w:t xml:space="preserve"> by industry</w:t>
      </w:r>
      <w:r w:rsidR="003C1A02">
        <w:t>.  This culminate</w:t>
      </w:r>
      <w:r w:rsidR="00D30475">
        <w:t>s</w:t>
      </w:r>
      <w:r w:rsidR="003C1A02">
        <w:t xml:space="preserve"> in an Action Plan that sets out who will do what by when</w:t>
      </w:r>
      <w:r w:rsidR="00D30475">
        <w:t xml:space="preserve"> and</w:t>
      </w:r>
      <w:r w:rsidR="003C1A02">
        <w:t xml:space="preserve"> is designed to </w:t>
      </w:r>
      <w:r w:rsidR="003B4AF1">
        <w:t>deliver the opportunities and workforce skill needs of the workforce</w:t>
      </w:r>
      <w:r>
        <w:t xml:space="preserve"> into the future</w:t>
      </w:r>
      <w:r w:rsidR="003B4AF1">
        <w:t>.</w:t>
      </w:r>
    </w:p>
    <w:p w14:paraId="691D4B1D" w14:textId="2DD93608" w:rsidR="00DC3300" w:rsidRDefault="00DC3300" w:rsidP="00DC3300">
      <w:pPr>
        <w:pStyle w:val="Caption"/>
      </w:pPr>
      <w:bookmarkStart w:id="16" w:name="_Ref22551640"/>
      <w:r>
        <w:t xml:space="preserve">Figure </w:t>
      </w:r>
      <w:r>
        <w:fldChar w:fldCharType="begin"/>
      </w:r>
      <w:r>
        <w:instrText xml:space="preserve"> SEQ Figure \* ARABIC </w:instrText>
      </w:r>
      <w:r>
        <w:fldChar w:fldCharType="separate"/>
      </w:r>
      <w:r w:rsidR="00185227">
        <w:rPr>
          <w:noProof/>
        </w:rPr>
        <w:t>1</w:t>
      </w:r>
      <w:r>
        <w:fldChar w:fldCharType="end"/>
      </w:r>
      <w:bookmarkEnd w:id="16"/>
      <w:r>
        <w:t>: Workforce development plan process</w:t>
      </w:r>
    </w:p>
    <w:p w14:paraId="4FF2282D" w14:textId="6A0843F4" w:rsidR="00EC2BA8" w:rsidRDefault="00EC2BA8" w:rsidP="003C1A02">
      <w:pPr>
        <w:pStyle w:val="Picture"/>
      </w:pPr>
      <w:r>
        <w:rPr>
          <w:lang w:val="en-GB" w:eastAsia="en-GB"/>
        </w:rPr>
        <w:drawing>
          <wp:inline distT="0" distB="0" distL="0" distR="0" wp14:anchorId="5A23D1BD" wp14:editId="70263A09">
            <wp:extent cx="6019800" cy="135255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E708BE7" w14:textId="4A634DE1" w:rsidR="003B4AF1" w:rsidRDefault="003B4AF1" w:rsidP="003B4AF1">
      <w:r w:rsidRPr="00A74093">
        <w:t>Th</w:t>
      </w:r>
      <w:r w:rsidR="00EC2BA8">
        <w:t>is</w:t>
      </w:r>
      <w:r w:rsidRPr="00A74093">
        <w:t xml:space="preserve"> Plan covers the workforce involved in mineral extraction operations (excluding quarrying operations).  It does not include the workforce involved in stand-alone mineral processing </w:t>
      </w:r>
      <w:r w:rsidR="00DF4346" w:rsidRPr="00A74093">
        <w:t>operations but</w:t>
      </w:r>
      <w:r w:rsidRPr="00A74093">
        <w:t xml:space="preserve"> does include </w:t>
      </w:r>
      <w:r w:rsidR="00060BA9">
        <w:t>workers</w:t>
      </w:r>
      <w:r w:rsidRPr="00A74093">
        <w:t xml:space="preserve"> involved in mineral processing operations conducted on a mine site.</w:t>
      </w:r>
    </w:p>
    <w:p w14:paraId="39FD9D45" w14:textId="519FC71A" w:rsidR="00997E6C" w:rsidRDefault="003B4AF1" w:rsidP="00997E6C">
      <w:r>
        <w:t>Th</w:t>
      </w:r>
      <w:r w:rsidR="00EC2BA8">
        <w:t>is</w:t>
      </w:r>
      <w:r>
        <w:t xml:space="preserve"> Plan was been made possible by funding from the </w:t>
      </w:r>
      <w:r w:rsidR="00F9502A">
        <w:t>Australian</w:t>
      </w:r>
      <w:r>
        <w:t xml:space="preserve"> Government’s North-West Tasmania Job Ready Generation Package and support from the Tasmanian Government.</w:t>
      </w:r>
    </w:p>
    <w:p w14:paraId="7F2337E5" w14:textId="67B17DF0" w:rsidR="00783D12" w:rsidRDefault="002956FC" w:rsidP="005310FD">
      <w:pPr>
        <w:pStyle w:val="UnnumberedHeading2"/>
      </w:pPr>
      <w:bookmarkStart w:id="17" w:name="_Toc24356559"/>
      <w:bookmarkStart w:id="18" w:name="_Toc24364801"/>
      <w:r>
        <w:t xml:space="preserve">The </w:t>
      </w:r>
      <w:r w:rsidR="006A26F6">
        <w:t>C</w:t>
      </w:r>
      <w:r>
        <w:t xml:space="preserve">urrent </w:t>
      </w:r>
      <w:r w:rsidR="00783D12">
        <w:t>Industry</w:t>
      </w:r>
      <w:r w:rsidR="0063022F">
        <w:t xml:space="preserve"> and its Workforce</w:t>
      </w:r>
      <w:bookmarkEnd w:id="17"/>
      <w:bookmarkEnd w:id="18"/>
    </w:p>
    <w:p w14:paraId="7BC88063" w14:textId="67CB158F" w:rsidR="00243C61" w:rsidRPr="002C1FCA" w:rsidRDefault="00243C61" w:rsidP="00243C61">
      <w:pPr>
        <w:rPr>
          <w:highlight w:val="yellow"/>
        </w:rPr>
      </w:pPr>
      <w:r w:rsidRPr="002C1FCA">
        <w:t xml:space="preserve">There are 14 mining operations across </w:t>
      </w:r>
      <w:r w:rsidRPr="00637D2A">
        <w:t>Tasmania</w:t>
      </w:r>
      <w:r>
        <w:t xml:space="preserve">, with a further </w:t>
      </w:r>
      <w:r w:rsidRPr="00637D2A">
        <w:t xml:space="preserve">3 mines currently </w:t>
      </w:r>
      <w:r>
        <w:t xml:space="preserve">in the planning stage.  </w:t>
      </w:r>
      <w:r w:rsidRPr="00637D2A">
        <w:t xml:space="preserve">Two </w:t>
      </w:r>
      <w:r>
        <w:t xml:space="preserve">of the current operations </w:t>
      </w:r>
      <w:r w:rsidR="004D1A51">
        <w:t>a</w:t>
      </w:r>
      <w:r>
        <w:t xml:space="preserve">re </w:t>
      </w:r>
      <w:r w:rsidRPr="00637D2A">
        <w:t xml:space="preserve">in care and maintenance </w:t>
      </w:r>
      <w:r w:rsidR="004D1A51">
        <w:t>as of</w:t>
      </w:r>
      <w:r w:rsidRPr="00637D2A">
        <w:t xml:space="preserve"> 2019.</w:t>
      </w:r>
    </w:p>
    <w:p w14:paraId="1F652141" w14:textId="011790ED" w:rsidR="00F01D97" w:rsidRDefault="00F01D97" w:rsidP="00F01D97">
      <w:r>
        <w:t xml:space="preserve">Critical to the </w:t>
      </w:r>
      <w:r w:rsidR="001B235F">
        <w:t>industry</w:t>
      </w:r>
      <w:r>
        <w:t xml:space="preserve">’s </w:t>
      </w:r>
      <w:r w:rsidR="00954E16">
        <w:t>future</w:t>
      </w:r>
      <w:r>
        <w:t xml:space="preserve"> growth and sustainability is continued access to a highly skilled and flexible workforce.  Into the future the ability of the </w:t>
      </w:r>
      <w:r w:rsidR="001B235F">
        <w:t>industry</w:t>
      </w:r>
      <w:r>
        <w:t xml:space="preserve"> to sustain and grow its workforce is likely to be impacted by </w:t>
      </w:r>
      <w:r w:rsidRPr="00243C61">
        <w:t>competition in the North-West of the State</w:t>
      </w:r>
      <w:r>
        <w:t xml:space="preserve"> from t</w:t>
      </w:r>
      <w:r w:rsidRPr="00243C61">
        <w:t>he Battery of the Nation and Project Mari</w:t>
      </w:r>
      <w:r w:rsidR="004D1A51">
        <w:t>n</w:t>
      </w:r>
      <w:r w:rsidRPr="00243C61">
        <w:t>us projects</w:t>
      </w:r>
      <w:r>
        <w:t xml:space="preserve">.  These projects are </w:t>
      </w:r>
      <w:r w:rsidRPr="00243C61">
        <w:t xml:space="preserve">being actively investigated by the energy sector and </w:t>
      </w:r>
      <w:r>
        <w:t xml:space="preserve">are expected to </w:t>
      </w:r>
      <w:r w:rsidRPr="00243C61">
        <w:t xml:space="preserve">employ a combined estimate of 800 people.  </w:t>
      </w:r>
    </w:p>
    <w:p w14:paraId="55F24AB4" w14:textId="763208B0" w:rsidR="00243C61" w:rsidRDefault="0063022F" w:rsidP="00243C61">
      <w:r>
        <w:t xml:space="preserve">A </w:t>
      </w:r>
      <w:r w:rsidR="00243C61">
        <w:t>coordinate</w:t>
      </w:r>
      <w:r w:rsidR="002956FC">
        <w:t>d</w:t>
      </w:r>
      <w:r w:rsidR="00243C61">
        <w:t xml:space="preserve"> approach to workforce development</w:t>
      </w:r>
      <w:r>
        <w:t xml:space="preserve"> can </w:t>
      </w:r>
      <w:r w:rsidR="00954E16">
        <w:t xml:space="preserve">improve the industry’s workforce </w:t>
      </w:r>
      <w:r w:rsidR="00954E16" w:rsidRPr="00954E16">
        <w:t>capacity and capability</w:t>
      </w:r>
      <w:r w:rsidR="00954E16">
        <w:t>.  This can</w:t>
      </w:r>
      <w:r w:rsidR="00954E16" w:rsidRPr="00954E16">
        <w:t xml:space="preserve"> </w:t>
      </w:r>
      <w:r>
        <w:t>be assisted by</w:t>
      </w:r>
      <w:r w:rsidR="00954E16">
        <w:t xml:space="preserve"> a range of supports such as</w:t>
      </w:r>
      <w:r w:rsidR="00243C61">
        <w:t>:</w:t>
      </w:r>
    </w:p>
    <w:p w14:paraId="73BD6A1A" w14:textId="3ED1C020" w:rsidR="00243C61" w:rsidRPr="00243C61" w:rsidRDefault="00F9502A" w:rsidP="00DC3300">
      <w:pPr>
        <w:pStyle w:val="ListBullet"/>
      </w:pPr>
      <w:r w:rsidRPr="00F9502A">
        <w:t>The North-West Tasmania Job Ready Generation Package, which has provided funds for several other projects that may assist the mining industry.</w:t>
      </w:r>
    </w:p>
    <w:p w14:paraId="3F2FDDD4" w14:textId="797FC5B5" w:rsidR="00243C61" w:rsidRDefault="00243C61" w:rsidP="00DC3300">
      <w:pPr>
        <w:pStyle w:val="ListBullet"/>
      </w:pPr>
      <w:r w:rsidRPr="00243C61">
        <w:lastRenderedPageBreak/>
        <w:t>The Cradle Coast Regional Futures Plan 2019-2022</w:t>
      </w:r>
      <w:r w:rsidR="0063022F">
        <w:t>, which</w:t>
      </w:r>
      <w:r w:rsidRPr="00243C61">
        <w:t xml:space="preserve"> aims to boost regional growth and foster a more resilient economy through improving education attainment, enhancing innovation and improving internal and external perception of Cradle Coast </w:t>
      </w:r>
      <w:r w:rsidR="00DF4346" w:rsidRPr="00243C61">
        <w:t>regarding</w:t>
      </w:r>
      <w:r w:rsidRPr="00243C61">
        <w:t xml:space="preserve"> employment opportunities.</w:t>
      </w:r>
    </w:p>
    <w:p w14:paraId="212BA1D1" w14:textId="4553DD0F" w:rsidR="001801B1" w:rsidRDefault="001801B1" w:rsidP="00AB7813">
      <w:pPr>
        <w:pStyle w:val="ListBullet"/>
      </w:pPr>
      <w:r>
        <w:t xml:space="preserve">The West Coast Community Plan 2025, which aims to </w:t>
      </w:r>
      <w:r w:rsidR="006178B5">
        <w:t xml:space="preserve">local council </w:t>
      </w:r>
      <w:r>
        <w:t>policies, strategies and actions.</w:t>
      </w:r>
    </w:p>
    <w:p w14:paraId="455BEE57" w14:textId="20C12EC6" w:rsidR="00071885" w:rsidRDefault="001B235F" w:rsidP="00071885">
      <w:r>
        <w:t xml:space="preserve">From a workforce perspective, the </w:t>
      </w:r>
      <w:r w:rsidR="00F33BE1">
        <w:t xml:space="preserve">average Tasmanian mining worker </w:t>
      </w:r>
      <w:r w:rsidR="00071885">
        <w:t xml:space="preserve">is male, </w:t>
      </w:r>
      <w:r w:rsidR="00F33BE1">
        <w:t>lives in North-West Tasmania, works on the West Coast</w:t>
      </w:r>
      <w:r w:rsidR="00071885">
        <w:t xml:space="preserve">, </w:t>
      </w:r>
      <w:r w:rsidR="00F33BE1">
        <w:t xml:space="preserve">is </w:t>
      </w:r>
      <w:r w:rsidR="00071885">
        <w:t xml:space="preserve">employed full-time and works in an underground mine.  </w:t>
      </w:r>
      <w:r w:rsidR="00071885" w:rsidRPr="00071885">
        <w:t>The</w:t>
      </w:r>
      <w:r w:rsidR="00F33BE1">
        <w:t>y</w:t>
      </w:r>
      <w:r w:rsidR="00071885" w:rsidRPr="00071885">
        <w:t xml:space="preserve"> </w:t>
      </w:r>
      <w:r w:rsidR="00F33BE1">
        <w:t>are</w:t>
      </w:r>
      <w:r w:rsidR="00071885" w:rsidRPr="00071885">
        <w:t xml:space="preserve"> older </w:t>
      </w:r>
      <w:r w:rsidR="00376A93">
        <w:t xml:space="preserve">and earn less </w:t>
      </w:r>
      <w:r w:rsidR="00071885" w:rsidRPr="00071885">
        <w:t xml:space="preserve">than the </w:t>
      </w:r>
      <w:r w:rsidR="00071885">
        <w:t>broader Australian</w:t>
      </w:r>
      <w:r w:rsidR="00071885" w:rsidRPr="00071885">
        <w:t xml:space="preserve"> mining workforce</w:t>
      </w:r>
      <w:r w:rsidR="00376A93">
        <w:t>.</w:t>
      </w:r>
    </w:p>
    <w:p w14:paraId="2B82E59A" w14:textId="15149FE8" w:rsidR="007E6B06" w:rsidRPr="00E04487" w:rsidRDefault="007E6B06" w:rsidP="007E6B06">
      <w:r w:rsidRPr="00071885">
        <w:t xml:space="preserve">The following table presents the key findings </w:t>
      </w:r>
      <w:r w:rsidR="0063022F">
        <w:t>regarding the industry workforce</w:t>
      </w:r>
      <w:r w:rsidRPr="00071885">
        <w:t>.</w:t>
      </w:r>
      <w:r w:rsidR="0062569C">
        <w:rPr>
          <w:rStyle w:val="FootnoteReference"/>
        </w:rPr>
        <w:footnoteReference w:id="1"/>
      </w:r>
    </w:p>
    <w:p w14:paraId="57AF0FCC" w14:textId="42AA6BCD" w:rsidR="007E6B06" w:rsidRDefault="007E6B06" w:rsidP="007E6B06">
      <w:pPr>
        <w:pStyle w:val="Caption"/>
      </w:pPr>
      <w:bookmarkStart w:id="19" w:name="_Ref22551632"/>
      <w:r>
        <w:t xml:space="preserve">Table </w:t>
      </w:r>
      <w:r>
        <w:fldChar w:fldCharType="begin"/>
      </w:r>
      <w:r>
        <w:instrText xml:space="preserve"> SEQ Table \* ARABIC </w:instrText>
      </w:r>
      <w:r>
        <w:fldChar w:fldCharType="separate"/>
      </w:r>
      <w:r w:rsidR="00185227">
        <w:rPr>
          <w:noProof/>
        </w:rPr>
        <w:t>1</w:t>
      </w:r>
      <w:r>
        <w:fldChar w:fldCharType="end"/>
      </w:r>
      <w:bookmarkEnd w:id="19"/>
      <w:r>
        <w:t>: Mining industry workforce dashboard</w:t>
      </w:r>
    </w:p>
    <w:tbl>
      <w:tblPr>
        <w:tblStyle w:val="GridTable4-Accent1"/>
        <w:tblW w:w="5000" w:type="pct"/>
        <w:tblLook w:val="04A0" w:firstRow="1" w:lastRow="0" w:firstColumn="1" w:lastColumn="0" w:noHBand="0" w:noVBand="1"/>
      </w:tblPr>
      <w:tblGrid>
        <w:gridCol w:w="1555"/>
        <w:gridCol w:w="8066"/>
      </w:tblGrid>
      <w:tr w:rsidR="007E6B06" w14:paraId="14B2350D" w14:textId="77777777" w:rsidTr="004D1A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8" w:type="pct"/>
          </w:tcPr>
          <w:p w14:paraId="71FDF08E" w14:textId="77777777" w:rsidR="007E6B06" w:rsidRDefault="007E6B06" w:rsidP="006964C9">
            <w:pPr>
              <w:pStyle w:val="TableHeading"/>
            </w:pPr>
            <w:bookmarkStart w:id="20" w:name="_Hlk22628986"/>
            <w:r>
              <w:t>Demographics</w:t>
            </w:r>
          </w:p>
        </w:tc>
        <w:tc>
          <w:tcPr>
            <w:tcW w:w="4192" w:type="pct"/>
          </w:tcPr>
          <w:p w14:paraId="3602638F" w14:textId="77777777" w:rsidR="007E6B06" w:rsidRDefault="007E6B06" w:rsidP="006964C9">
            <w:pPr>
              <w:pStyle w:val="TableHeading"/>
              <w:cnfStyle w:val="100000000000" w:firstRow="1" w:lastRow="0" w:firstColumn="0" w:lastColumn="0" w:oddVBand="0" w:evenVBand="0" w:oddHBand="0" w:evenHBand="0" w:firstRowFirstColumn="0" w:firstRowLastColumn="0" w:lastRowFirstColumn="0" w:lastRowLastColumn="0"/>
            </w:pPr>
            <w:r>
              <w:t>Key Findings</w:t>
            </w:r>
          </w:p>
        </w:tc>
      </w:tr>
      <w:tr w:rsidR="007E6B06" w14:paraId="1FE033EB" w14:textId="77777777" w:rsidTr="004D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13A9EDDF" w14:textId="77777777" w:rsidR="007E6B06" w:rsidRPr="006344B7" w:rsidRDefault="007E6B06" w:rsidP="006964C9">
            <w:pPr>
              <w:pStyle w:val="TableText"/>
              <w:rPr>
                <w:b w:val="0"/>
                <w:bCs w:val="0"/>
              </w:rPr>
            </w:pPr>
            <w:r>
              <w:rPr>
                <w:b w:val="0"/>
                <w:bCs w:val="0"/>
              </w:rPr>
              <w:t>Workforce Size</w:t>
            </w:r>
          </w:p>
        </w:tc>
        <w:tc>
          <w:tcPr>
            <w:tcW w:w="4192" w:type="pct"/>
          </w:tcPr>
          <w:p w14:paraId="791735B0" w14:textId="21BA47E7" w:rsidR="007E6B06" w:rsidRDefault="007E6B06" w:rsidP="00954E16">
            <w:pPr>
              <w:pStyle w:val="Tablelistbullet"/>
              <w:cnfStyle w:val="000000100000" w:firstRow="0" w:lastRow="0" w:firstColumn="0" w:lastColumn="0" w:oddVBand="0" w:evenVBand="0" w:oddHBand="1" w:evenHBand="0" w:firstRowFirstColumn="0" w:firstRowLastColumn="0" w:lastRowFirstColumn="0" w:lastRowLastColumn="0"/>
            </w:pPr>
            <w:r>
              <w:t>The current Tasmanian mining workforce is approximately 3790 persons</w:t>
            </w:r>
          </w:p>
          <w:p w14:paraId="0A738B30" w14:textId="68E3A6C7" w:rsidR="007E6B06" w:rsidRDefault="007E6B06" w:rsidP="00954E16">
            <w:pPr>
              <w:pStyle w:val="Tablelistbullet"/>
              <w:cnfStyle w:val="000000100000" w:firstRow="0" w:lastRow="0" w:firstColumn="0" w:lastColumn="0" w:oddVBand="0" w:evenVBand="0" w:oddHBand="1" w:evenHBand="0" w:firstRowFirstColumn="0" w:firstRowLastColumn="0" w:lastRowFirstColumn="0" w:lastRowLastColumn="0"/>
            </w:pPr>
            <w:r>
              <w:t xml:space="preserve">The </w:t>
            </w:r>
            <w:r w:rsidR="00680352">
              <w:t xml:space="preserve">size of the </w:t>
            </w:r>
            <w:r>
              <w:t>Tasmanian mining workforce</w:t>
            </w:r>
            <w:r w:rsidR="00680352">
              <w:t xml:space="preserve"> is now approximately the same as it was in 1984, having expanded and contracted multiple times over this time</w:t>
            </w:r>
          </w:p>
          <w:p w14:paraId="0DAF79CC" w14:textId="4053726A" w:rsidR="007E6B06" w:rsidRDefault="007E6B06" w:rsidP="00954E16">
            <w:pPr>
              <w:pStyle w:val="Tablelistbullet"/>
              <w:cnfStyle w:val="000000100000" w:firstRow="0" w:lastRow="0" w:firstColumn="0" w:lastColumn="0" w:oddVBand="0" w:evenVBand="0" w:oddHBand="1" w:evenHBand="0" w:firstRowFirstColumn="0" w:firstRowLastColumn="0" w:lastRowFirstColumn="0" w:lastRowLastColumn="0"/>
            </w:pPr>
            <w:r>
              <w:t>Several mining companies indicate that the</w:t>
            </w:r>
            <w:r w:rsidR="00680352">
              <w:t>y expect their</w:t>
            </w:r>
            <w:r>
              <w:t xml:space="preserve"> workforce </w:t>
            </w:r>
            <w:r w:rsidR="00680352">
              <w:t>to</w:t>
            </w:r>
            <w:r>
              <w:t xml:space="preserve"> grow over the next three years</w:t>
            </w:r>
          </w:p>
        </w:tc>
      </w:tr>
      <w:tr w:rsidR="007E6B06" w14:paraId="3DCB9D52" w14:textId="77777777" w:rsidTr="004D1A51">
        <w:tc>
          <w:tcPr>
            <w:cnfStyle w:val="001000000000" w:firstRow="0" w:lastRow="0" w:firstColumn="1" w:lastColumn="0" w:oddVBand="0" w:evenVBand="0" w:oddHBand="0" w:evenHBand="0" w:firstRowFirstColumn="0" w:firstRowLastColumn="0" w:lastRowFirstColumn="0" w:lastRowLastColumn="0"/>
            <w:tcW w:w="808" w:type="pct"/>
          </w:tcPr>
          <w:p w14:paraId="773489AC" w14:textId="77777777" w:rsidR="007E6B06" w:rsidRDefault="007E6B06" w:rsidP="006964C9">
            <w:pPr>
              <w:pStyle w:val="TableText"/>
              <w:rPr>
                <w:b w:val="0"/>
                <w:bCs w:val="0"/>
              </w:rPr>
            </w:pPr>
            <w:r>
              <w:rPr>
                <w:b w:val="0"/>
                <w:bCs w:val="0"/>
              </w:rPr>
              <w:t>Location</w:t>
            </w:r>
          </w:p>
        </w:tc>
        <w:tc>
          <w:tcPr>
            <w:tcW w:w="4192" w:type="pct"/>
          </w:tcPr>
          <w:p w14:paraId="35927A61" w14:textId="634250FB" w:rsidR="007E6B06" w:rsidRDefault="007E6B06" w:rsidP="00954E16">
            <w:pPr>
              <w:pStyle w:val="Tablelistbullet"/>
              <w:cnfStyle w:val="000000000000" w:firstRow="0" w:lastRow="0" w:firstColumn="0" w:lastColumn="0" w:oddVBand="0" w:evenVBand="0" w:oddHBand="0" w:evenHBand="0" w:firstRowFirstColumn="0" w:firstRowLastColumn="0" w:lastRowFirstColumn="0" w:lastRowLastColumn="0"/>
            </w:pPr>
            <w:r>
              <w:t>Nearly all of Tasmania’s mining workforce live in North-West Tasmania</w:t>
            </w:r>
          </w:p>
          <w:p w14:paraId="4F6DAE7C" w14:textId="453631B9" w:rsidR="007E6B06" w:rsidRDefault="007E6B06" w:rsidP="00954E16">
            <w:pPr>
              <w:pStyle w:val="Tablelistbullet"/>
              <w:cnfStyle w:val="000000000000" w:firstRow="0" w:lastRow="0" w:firstColumn="0" w:lastColumn="0" w:oddVBand="0" w:evenVBand="0" w:oddHBand="0" w:evenHBand="0" w:firstRowFirstColumn="0" w:firstRowLastColumn="0" w:lastRowFirstColumn="0" w:lastRowLastColumn="0"/>
            </w:pPr>
            <w:r>
              <w:t xml:space="preserve">Nearly half of the mining workforce </w:t>
            </w:r>
            <w:r w:rsidR="00F33BE1">
              <w:t xml:space="preserve">were </w:t>
            </w:r>
            <w:r>
              <w:t>employed on the West Coast, though only a one-quarter of the workforce live there</w:t>
            </w:r>
          </w:p>
        </w:tc>
      </w:tr>
      <w:tr w:rsidR="007E6B06" w14:paraId="3B5848C1" w14:textId="77777777" w:rsidTr="004D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475F1733" w14:textId="77777777" w:rsidR="007E6B06" w:rsidRDefault="007E6B06" w:rsidP="006964C9">
            <w:pPr>
              <w:pStyle w:val="TableText"/>
              <w:rPr>
                <w:b w:val="0"/>
                <w:bCs w:val="0"/>
              </w:rPr>
            </w:pPr>
            <w:r>
              <w:rPr>
                <w:b w:val="0"/>
                <w:bCs w:val="0"/>
              </w:rPr>
              <w:t>Age</w:t>
            </w:r>
          </w:p>
        </w:tc>
        <w:tc>
          <w:tcPr>
            <w:tcW w:w="4192" w:type="pct"/>
          </w:tcPr>
          <w:p w14:paraId="2609D326" w14:textId="6B0D1011" w:rsidR="007E6B06" w:rsidRPr="00C358C4" w:rsidRDefault="00DF4346" w:rsidP="00954E16">
            <w:pPr>
              <w:pStyle w:val="Tablelistbullet"/>
              <w:cnfStyle w:val="000000100000" w:firstRow="0" w:lastRow="0" w:firstColumn="0" w:lastColumn="0" w:oddVBand="0" w:evenVBand="0" w:oddHBand="1" w:evenHBand="0" w:firstRowFirstColumn="0" w:firstRowLastColumn="0" w:lastRowFirstColumn="0" w:lastRowLastColumn="0"/>
              <w:rPr>
                <w:rStyle w:val="word"/>
              </w:rPr>
            </w:pPr>
            <w:r w:rsidRPr="00C358C4">
              <w:rPr>
                <w:rStyle w:val="word"/>
                <w:rFonts w:eastAsia="Cambria"/>
              </w:rPr>
              <w:t>Most of</w:t>
            </w:r>
            <w:r w:rsidR="007E6B06" w:rsidRPr="00C358C4">
              <w:rPr>
                <w:rStyle w:val="word"/>
                <w:rFonts w:eastAsia="Cambria"/>
              </w:rPr>
              <w:t xml:space="preserve"> the </w:t>
            </w:r>
            <w:r w:rsidR="007E6B06">
              <w:rPr>
                <w:rStyle w:val="word"/>
                <w:rFonts w:eastAsia="Cambria"/>
              </w:rPr>
              <w:t>workforce</w:t>
            </w:r>
            <w:r w:rsidR="007E6B06" w:rsidRPr="00C358C4">
              <w:rPr>
                <w:rStyle w:val="word"/>
                <w:rFonts w:eastAsia="Cambria"/>
              </w:rPr>
              <w:t xml:space="preserve"> </w:t>
            </w:r>
            <w:r w:rsidR="003C1A02">
              <w:rPr>
                <w:rStyle w:val="word"/>
                <w:rFonts w:eastAsia="Cambria"/>
              </w:rPr>
              <w:t xml:space="preserve">(52%) </w:t>
            </w:r>
            <w:r w:rsidR="007E6B06" w:rsidRPr="00C358C4">
              <w:rPr>
                <w:rStyle w:val="word"/>
                <w:rFonts w:eastAsia="Cambria"/>
              </w:rPr>
              <w:t>is</w:t>
            </w:r>
            <w:r w:rsidR="007E6B06">
              <w:rPr>
                <w:rStyle w:val="word"/>
                <w:rFonts w:eastAsia="Cambria"/>
              </w:rPr>
              <w:t xml:space="preserve"> aged</w:t>
            </w:r>
            <w:r w:rsidR="007E6B06" w:rsidRPr="00C358C4">
              <w:rPr>
                <w:rStyle w:val="word"/>
                <w:rFonts w:eastAsia="Cambria"/>
              </w:rPr>
              <w:t xml:space="preserve"> between 35 and 54 years old</w:t>
            </w:r>
            <w:r w:rsidR="007E6B06">
              <w:rPr>
                <w:rStyle w:val="word"/>
                <w:rFonts w:eastAsia="Cambria"/>
              </w:rPr>
              <w:t xml:space="preserve"> </w:t>
            </w:r>
          </w:p>
          <w:p w14:paraId="61F6278D" w14:textId="1B11447D" w:rsidR="007E6B06" w:rsidRDefault="007E6B06" w:rsidP="00954E16">
            <w:pPr>
              <w:pStyle w:val="Tablelistbullet"/>
              <w:cnfStyle w:val="000000100000" w:firstRow="0" w:lastRow="0" w:firstColumn="0" w:lastColumn="0" w:oddVBand="0" w:evenVBand="0" w:oddHBand="1" w:evenHBand="0" w:firstRowFirstColumn="0" w:firstRowLastColumn="0" w:lastRowFirstColumn="0" w:lastRowLastColumn="0"/>
            </w:pPr>
            <w:r>
              <w:t>The Tasmanian mining workforce is older than the broader Australian mining workforce</w:t>
            </w:r>
            <w:r w:rsidR="000F0F3D">
              <w:t>, with the mode average in Tasmania being 45 to 54 years versus 35 to 44 years Australia-wide</w:t>
            </w:r>
          </w:p>
        </w:tc>
      </w:tr>
      <w:tr w:rsidR="007E6B06" w14:paraId="72D787CA" w14:textId="77777777" w:rsidTr="004D1A51">
        <w:tc>
          <w:tcPr>
            <w:cnfStyle w:val="001000000000" w:firstRow="0" w:lastRow="0" w:firstColumn="1" w:lastColumn="0" w:oddVBand="0" w:evenVBand="0" w:oddHBand="0" w:evenHBand="0" w:firstRowFirstColumn="0" w:firstRowLastColumn="0" w:lastRowFirstColumn="0" w:lastRowLastColumn="0"/>
            <w:tcW w:w="808" w:type="pct"/>
          </w:tcPr>
          <w:p w14:paraId="44EBE99B" w14:textId="77777777" w:rsidR="007E6B06" w:rsidRDefault="007E6B06" w:rsidP="006964C9">
            <w:pPr>
              <w:pStyle w:val="TableText"/>
              <w:rPr>
                <w:b w:val="0"/>
                <w:bCs w:val="0"/>
              </w:rPr>
            </w:pPr>
            <w:r>
              <w:rPr>
                <w:b w:val="0"/>
                <w:bCs w:val="0"/>
              </w:rPr>
              <w:t>Gender</w:t>
            </w:r>
          </w:p>
        </w:tc>
        <w:tc>
          <w:tcPr>
            <w:tcW w:w="4192" w:type="pct"/>
          </w:tcPr>
          <w:p w14:paraId="296DC2D1" w14:textId="7B0846E2" w:rsidR="007E6B06" w:rsidRPr="00B333E9" w:rsidRDefault="007E6B06" w:rsidP="00954E16">
            <w:pPr>
              <w:pStyle w:val="Tablelistbullet"/>
              <w:cnfStyle w:val="000000000000" w:firstRow="0" w:lastRow="0" w:firstColumn="0" w:lastColumn="0" w:oddVBand="0" w:evenVBand="0" w:oddHBand="0" w:evenHBand="0" w:firstRowFirstColumn="0" w:firstRowLastColumn="0" w:lastRowFirstColumn="0" w:lastRowLastColumn="0"/>
            </w:pPr>
            <w:r>
              <w:t>The workforce is predominately male – less than 10% of the workforce are women</w:t>
            </w:r>
          </w:p>
        </w:tc>
      </w:tr>
      <w:tr w:rsidR="007E6B06" w14:paraId="37390710" w14:textId="77777777" w:rsidTr="004D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5181559B" w14:textId="77777777" w:rsidR="007E6B06" w:rsidRDefault="007E6B06" w:rsidP="006964C9">
            <w:pPr>
              <w:pStyle w:val="TableText"/>
              <w:rPr>
                <w:b w:val="0"/>
                <w:bCs w:val="0"/>
              </w:rPr>
            </w:pPr>
            <w:r>
              <w:rPr>
                <w:b w:val="0"/>
                <w:bCs w:val="0"/>
              </w:rPr>
              <w:t>Occupation</w:t>
            </w:r>
          </w:p>
        </w:tc>
        <w:tc>
          <w:tcPr>
            <w:tcW w:w="4192" w:type="pct"/>
          </w:tcPr>
          <w:p w14:paraId="69BDF3A6" w14:textId="3017F02A" w:rsidR="007E6B06" w:rsidRDefault="007E6B06" w:rsidP="00954E16">
            <w:pPr>
              <w:pStyle w:val="Tablelistbullet"/>
              <w:cnfStyle w:val="000000100000" w:firstRow="0" w:lastRow="0" w:firstColumn="0" w:lastColumn="0" w:oddVBand="0" w:evenVBand="0" w:oddHBand="1" w:evenHBand="0" w:firstRowFirstColumn="0" w:firstRowLastColumn="0" w:lastRowFirstColumn="0" w:lastRowLastColumn="0"/>
            </w:pPr>
            <w:r>
              <w:t xml:space="preserve">Machinery operators and drivers </w:t>
            </w:r>
            <w:r w:rsidR="000F0F3D">
              <w:t>together with</w:t>
            </w:r>
            <w:r>
              <w:t xml:space="preserve"> </w:t>
            </w:r>
            <w:r w:rsidR="000F0F3D">
              <w:t>t</w:t>
            </w:r>
            <w:r>
              <w:t>echnicians and trades workers make up 74% of the total mining workforce</w:t>
            </w:r>
          </w:p>
        </w:tc>
      </w:tr>
      <w:tr w:rsidR="007E6B06" w14:paraId="253AE958" w14:textId="77777777" w:rsidTr="004D1A51">
        <w:tc>
          <w:tcPr>
            <w:cnfStyle w:val="001000000000" w:firstRow="0" w:lastRow="0" w:firstColumn="1" w:lastColumn="0" w:oddVBand="0" w:evenVBand="0" w:oddHBand="0" w:evenHBand="0" w:firstRowFirstColumn="0" w:firstRowLastColumn="0" w:lastRowFirstColumn="0" w:lastRowLastColumn="0"/>
            <w:tcW w:w="808" w:type="pct"/>
          </w:tcPr>
          <w:p w14:paraId="21D0CFE6" w14:textId="77777777" w:rsidR="007E6B06" w:rsidRDefault="007E6B06" w:rsidP="006964C9">
            <w:pPr>
              <w:pStyle w:val="TableText"/>
              <w:rPr>
                <w:b w:val="0"/>
                <w:bCs w:val="0"/>
              </w:rPr>
            </w:pPr>
            <w:r>
              <w:rPr>
                <w:b w:val="0"/>
                <w:bCs w:val="0"/>
              </w:rPr>
              <w:t>Employment</w:t>
            </w:r>
          </w:p>
        </w:tc>
        <w:tc>
          <w:tcPr>
            <w:tcW w:w="4192" w:type="pct"/>
          </w:tcPr>
          <w:p w14:paraId="62C47149" w14:textId="1160343B" w:rsidR="007E6B06" w:rsidRDefault="00054AAD" w:rsidP="00954E16">
            <w:pPr>
              <w:pStyle w:val="Tablelistbullet"/>
              <w:cnfStyle w:val="000000000000" w:firstRow="0" w:lastRow="0" w:firstColumn="0" w:lastColumn="0" w:oddVBand="0" w:evenVBand="0" w:oddHBand="0" w:evenHBand="0" w:firstRowFirstColumn="0" w:firstRowLastColumn="0" w:lastRowFirstColumn="0" w:lastRowLastColumn="0"/>
            </w:pPr>
            <w:r>
              <w:t xml:space="preserve">The majority (90%) of the workforce </w:t>
            </w:r>
            <w:r w:rsidR="007E6B06">
              <w:t>were employed full time</w:t>
            </w:r>
          </w:p>
        </w:tc>
      </w:tr>
      <w:tr w:rsidR="007E6B06" w14:paraId="70F2810F" w14:textId="77777777" w:rsidTr="004D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6016970E" w14:textId="77777777" w:rsidR="007E6B06" w:rsidRDefault="007E6B06" w:rsidP="006964C9">
            <w:pPr>
              <w:pStyle w:val="TableText"/>
              <w:rPr>
                <w:b w:val="0"/>
                <w:bCs w:val="0"/>
              </w:rPr>
            </w:pPr>
            <w:r>
              <w:rPr>
                <w:b w:val="0"/>
                <w:bCs w:val="0"/>
              </w:rPr>
              <w:t>Income</w:t>
            </w:r>
          </w:p>
        </w:tc>
        <w:tc>
          <w:tcPr>
            <w:tcW w:w="4192" w:type="pct"/>
          </w:tcPr>
          <w:p w14:paraId="5DADD5DE" w14:textId="47253C65" w:rsidR="007E6B06" w:rsidRPr="00C358C4" w:rsidRDefault="007E6B06" w:rsidP="00954E16">
            <w:pPr>
              <w:pStyle w:val="Tablelistbullet"/>
              <w:cnfStyle w:val="000000100000" w:firstRow="0" w:lastRow="0" w:firstColumn="0" w:lastColumn="0" w:oddVBand="0" w:evenVBand="0" w:oddHBand="1" w:evenHBand="0" w:firstRowFirstColumn="0" w:firstRowLastColumn="0" w:lastRowFirstColumn="0" w:lastRowLastColumn="0"/>
            </w:pPr>
            <w:r>
              <w:t>The mining workforce in other states have a higher average wage compared to the Tasmanian mining workforce average wage</w:t>
            </w:r>
          </w:p>
        </w:tc>
      </w:tr>
      <w:tr w:rsidR="007E6B06" w14:paraId="5B2194F7" w14:textId="77777777" w:rsidTr="004D1A51">
        <w:tc>
          <w:tcPr>
            <w:cnfStyle w:val="001000000000" w:firstRow="0" w:lastRow="0" w:firstColumn="1" w:lastColumn="0" w:oddVBand="0" w:evenVBand="0" w:oddHBand="0" w:evenHBand="0" w:firstRowFirstColumn="0" w:firstRowLastColumn="0" w:lastRowFirstColumn="0" w:lastRowLastColumn="0"/>
            <w:tcW w:w="808" w:type="pct"/>
          </w:tcPr>
          <w:p w14:paraId="224E0D5E" w14:textId="77777777" w:rsidR="007E6B06" w:rsidRDefault="007E6B06" w:rsidP="006964C9">
            <w:pPr>
              <w:pStyle w:val="TableText"/>
              <w:rPr>
                <w:b w:val="0"/>
                <w:bCs w:val="0"/>
              </w:rPr>
            </w:pPr>
            <w:r>
              <w:rPr>
                <w:b w:val="0"/>
                <w:bCs w:val="0"/>
              </w:rPr>
              <w:t>Education and Training</w:t>
            </w:r>
          </w:p>
        </w:tc>
        <w:tc>
          <w:tcPr>
            <w:tcW w:w="4192" w:type="pct"/>
          </w:tcPr>
          <w:p w14:paraId="27639ECD" w14:textId="1CDD74FB" w:rsidR="007E6B06" w:rsidRDefault="00376A93" w:rsidP="00954E16">
            <w:pPr>
              <w:pStyle w:val="Tablelistbullet"/>
              <w:cnfStyle w:val="000000000000" w:firstRow="0" w:lastRow="0" w:firstColumn="0" w:lastColumn="0" w:oddVBand="0" w:evenVBand="0" w:oddHBand="0" w:evenHBand="0" w:firstRowFirstColumn="0" w:firstRowLastColumn="0" w:lastRowFirstColumn="0" w:lastRowLastColumn="0"/>
            </w:pPr>
            <w:r>
              <w:t>While the</w:t>
            </w:r>
            <w:r w:rsidR="007E6B06">
              <w:t xml:space="preserve"> percentage of the mining workforce that hold a qualification increased between 2011 and 2016</w:t>
            </w:r>
            <w:r w:rsidR="003C1A02">
              <w:t xml:space="preserve"> (from </w:t>
            </w:r>
            <w:r w:rsidR="00A86444">
              <w:t>37</w:t>
            </w:r>
            <w:r w:rsidR="003C1A02">
              <w:t xml:space="preserve">% to </w:t>
            </w:r>
            <w:r w:rsidR="00A86444">
              <w:t>42</w:t>
            </w:r>
            <w:r w:rsidR="003C1A02">
              <w:t>%)</w:t>
            </w:r>
            <w:r>
              <w:t>, this still accounts for less than half the workforce</w:t>
            </w:r>
          </w:p>
          <w:p w14:paraId="33CFD52C" w14:textId="378CAE7A" w:rsidR="007E6B06" w:rsidRDefault="00376A93" w:rsidP="00954E16">
            <w:pPr>
              <w:pStyle w:val="Tablelistbullet"/>
              <w:cnfStyle w:val="000000000000" w:firstRow="0" w:lastRow="0" w:firstColumn="0" w:lastColumn="0" w:oddVBand="0" w:evenVBand="0" w:oddHBand="0" w:evenHBand="0" w:firstRowFirstColumn="0" w:firstRowLastColumn="0" w:lastRowFirstColumn="0" w:lastRowLastColumn="0"/>
            </w:pPr>
            <w:r>
              <w:t xml:space="preserve">The qualifications held by the workforce are principally </w:t>
            </w:r>
            <w:r w:rsidR="007E6B06">
              <w:t>vocational</w:t>
            </w:r>
            <w:r>
              <w:t>,</w:t>
            </w:r>
            <w:r w:rsidR="007E6B06">
              <w:t xml:space="preserve"> with 75% of the qualifications held being Certificate III and IV level</w:t>
            </w:r>
          </w:p>
          <w:p w14:paraId="4731C363" w14:textId="7432F5EE" w:rsidR="007E6B06" w:rsidRDefault="007E6B06" w:rsidP="00954E16">
            <w:pPr>
              <w:pStyle w:val="Tablelistbullet"/>
              <w:cnfStyle w:val="000000000000" w:firstRow="0" w:lastRow="0" w:firstColumn="0" w:lastColumn="0" w:oddVBand="0" w:evenVBand="0" w:oddHBand="0" w:evenHBand="0" w:firstRowFirstColumn="0" w:firstRowLastColumn="0" w:lastRowFirstColumn="0" w:lastRowLastColumn="0"/>
            </w:pPr>
            <w:r>
              <w:t>The predominant field of qualification (tertiary and vocational combined) in 2016 was in Engineering and Related Technologies</w:t>
            </w:r>
          </w:p>
        </w:tc>
      </w:tr>
    </w:tbl>
    <w:p w14:paraId="4719C9D6" w14:textId="038CCB2C" w:rsidR="002E2AA1" w:rsidRPr="009E4426" w:rsidRDefault="005028FD" w:rsidP="00BB0782">
      <w:pPr>
        <w:pStyle w:val="Heading1"/>
        <w:pageBreakBefore/>
      </w:pPr>
      <w:bookmarkStart w:id="21" w:name="_Toc24364802"/>
      <w:bookmarkEnd w:id="20"/>
      <w:r>
        <w:lastRenderedPageBreak/>
        <w:t xml:space="preserve">Building </w:t>
      </w:r>
      <w:r w:rsidR="00977A26">
        <w:t>Tasmania’s Mining</w:t>
      </w:r>
      <w:r w:rsidR="00040EA2">
        <w:t xml:space="preserve"> </w:t>
      </w:r>
      <w:r>
        <w:t>Workforce</w:t>
      </w:r>
      <w:bookmarkEnd w:id="21"/>
    </w:p>
    <w:p w14:paraId="49C509BD" w14:textId="630F4C62" w:rsidR="00044B7C" w:rsidRDefault="00FB0792" w:rsidP="00044B7C">
      <w:r>
        <w:t xml:space="preserve">A range of workforce </w:t>
      </w:r>
      <w:r w:rsidR="00D04AF3">
        <w:t xml:space="preserve">issues and </w:t>
      </w:r>
      <w:r>
        <w:t xml:space="preserve">corresponding </w:t>
      </w:r>
      <w:r w:rsidR="00D04AF3">
        <w:t>challenges</w:t>
      </w:r>
      <w:r>
        <w:t xml:space="preserve"> were identified, which</w:t>
      </w:r>
      <w:r w:rsidR="00D04AF3">
        <w:t xml:space="preserve"> fall under three strategic </w:t>
      </w:r>
      <w:r>
        <w:t xml:space="preserve">workforce </w:t>
      </w:r>
      <w:r w:rsidR="00D04AF3">
        <w:t>goals:</w:t>
      </w:r>
    </w:p>
    <w:p w14:paraId="271368BC" w14:textId="0EA221AF" w:rsidR="00044B7C" w:rsidRDefault="00044B7C" w:rsidP="00DC3300">
      <w:pPr>
        <w:pStyle w:val="ListBullet"/>
      </w:pPr>
      <w:r>
        <w:t>Building industry collaboration</w:t>
      </w:r>
    </w:p>
    <w:p w14:paraId="2EA5BC4E" w14:textId="77777777" w:rsidR="00044B7C" w:rsidRDefault="00044B7C" w:rsidP="00DC3300">
      <w:pPr>
        <w:pStyle w:val="ListBullet"/>
      </w:pPr>
      <w:r>
        <w:t>Building workforce capacity</w:t>
      </w:r>
    </w:p>
    <w:p w14:paraId="4975DDA6" w14:textId="7D6B2101" w:rsidR="00044B7C" w:rsidRDefault="00044B7C" w:rsidP="00DC3300">
      <w:pPr>
        <w:pStyle w:val="ListBullet"/>
      </w:pPr>
      <w:r>
        <w:t>Building workforce capability.</w:t>
      </w:r>
    </w:p>
    <w:p w14:paraId="11DE12DC" w14:textId="79C16897" w:rsidR="00FB0792" w:rsidRDefault="00FB0792" w:rsidP="009C097B">
      <w:r>
        <w:t>These issues were identified through consultation with industry and supported by the current workforce’s characteristics.</w:t>
      </w:r>
    </w:p>
    <w:p w14:paraId="52BD0676" w14:textId="25C940DF" w:rsidR="000B132C" w:rsidRDefault="000B132C" w:rsidP="000B132C">
      <w:pPr>
        <w:pStyle w:val="Caption"/>
      </w:pPr>
      <w:bookmarkStart w:id="22" w:name="_Ref22556339"/>
      <w:r>
        <w:t xml:space="preserve">Table </w:t>
      </w:r>
      <w:r>
        <w:fldChar w:fldCharType="begin"/>
      </w:r>
      <w:r>
        <w:instrText xml:space="preserve"> SEQ Table \* ARABIC </w:instrText>
      </w:r>
      <w:r>
        <w:fldChar w:fldCharType="separate"/>
      </w:r>
      <w:r w:rsidR="00185227">
        <w:rPr>
          <w:noProof/>
        </w:rPr>
        <w:t>2</w:t>
      </w:r>
      <w:r>
        <w:fldChar w:fldCharType="end"/>
      </w:r>
      <w:bookmarkEnd w:id="22"/>
      <w:r>
        <w:t xml:space="preserve">: Tasmanian mining industry workforce issues and </w:t>
      </w:r>
      <w:r w:rsidR="008C30AA">
        <w:t xml:space="preserve">corresponding </w:t>
      </w:r>
      <w:r>
        <w:t>challenges</w:t>
      </w:r>
    </w:p>
    <w:tbl>
      <w:tblPr>
        <w:tblStyle w:val="ListTable4-Accent11"/>
        <w:tblW w:w="0" w:type="auto"/>
        <w:tblLook w:val="04A0" w:firstRow="1" w:lastRow="0" w:firstColumn="1" w:lastColumn="0" w:noHBand="0" w:noVBand="1"/>
      </w:tblPr>
      <w:tblGrid>
        <w:gridCol w:w="4810"/>
        <w:gridCol w:w="4811"/>
      </w:tblGrid>
      <w:tr w:rsidR="00672393" w14:paraId="024B5558" w14:textId="77777777" w:rsidTr="00BB63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0" w:type="dxa"/>
          </w:tcPr>
          <w:p w14:paraId="32C0C99D" w14:textId="73709CFE" w:rsidR="00672393" w:rsidRDefault="008C30AA" w:rsidP="00BB636E">
            <w:pPr>
              <w:pStyle w:val="TableHeading"/>
            </w:pPr>
            <w:bookmarkStart w:id="23" w:name="_Hlk22558053"/>
            <w:r>
              <w:t xml:space="preserve">Workforce </w:t>
            </w:r>
            <w:r w:rsidR="00672393">
              <w:t>Issue</w:t>
            </w:r>
          </w:p>
        </w:tc>
        <w:tc>
          <w:tcPr>
            <w:tcW w:w="4811" w:type="dxa"/>
          </w:tcPr>
          <w:p w14:paraId="29036520" w14:textId="2804E6EA" w:rsidR="00672393" w:rsidRDefault="008C30AA" w:rsidP="00BB636E">
            <w:pPr>
              <w:pStyle w:val="TableHeading"/>
              <w:cnfStyle w:val="100000000000" w:firstRow="1" w:lastRow="0" w:firstColumn="0" w:lastColumn="0" w:oddVBand="0" w:evenVBand="0" w:oddHBand="0" w:evenHBand="0" w:firstRowFirstColumn="0" w:firstRowLastColumn="0" w:lastRowFirstColumn="0" w:lastRowLastColumn="0"/>
            </w:pPr>
            <w:r>
              <w:t xml:space="preserve">Corresponding </w:t>
            </w:r>
            <w:r w:rsidR="00672393">
              <w:t>Challenge</w:t>
            </w:r>
            <w:r>
              <w:t>(s)</w:t>
            </w:r>
          </w:p>
        </w:tc>
      </w:tr>
      <w:tr w:rsidR="00BB636E" w14:paraId="63CF47E2" w14:textId="77777777" w:rsidTr="00BB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gridSpan w:val="2"/>
            <w:shd w:val="clear" w:color="auto" w:fill="ED7D31"/>
          </w:tcPr>
          <w:p w14:paraId="217A16F4" w14:textId="791182FF" w:rsidR="00BB636E" w:rsidRPr="00BB636E" w:rsidRDefault="00BB636E" w:rsidP="00BB636E">
            <w:pPr>
              <w:pStyle w:val="TableText"/>
              <w:rPr>
                <w:b w:val="0"/>
                <w:bCs w:val="0"/>
                <w:color w:val="FFFFFF" w:themeColor="background1"/>
              </w:rPr>
            </w:pPr>
            <w:r w:rsidRPr="00BB636E">
              <w:rPr>
                <w:b w:val="0"/>
                <w:bCs w:val="0"/>
                <w:color w:val="FFFFFF" w:themeColor="background1"/>
              </w:rPr>
              <w:t>Building Industry Collaboration</w:t>
            </w:r>
          </w:p>
        </w:tc>
      </w:tr>
      <w:tr w:rsidR="00672393" w14:paraId="198F15CD" w14:textId="77777777" w:rsidTr="000B132C">
        <w:tc>
          <w:tcPr>
            <w:cnfStyle w:val="001000000000" w:firstRow="0" w:lastRow="0" w:firstColumn="1" w:lastColumn="0" w:oddVBand="0" w:evenVBand="0" w:oddHBand="0" w:evenHBand="0" w:firstRowFirstColumn="0" w:firstRowLastColumn="0" w:lastRowFirstColumn="0" w:lastRowLastColumn="0"/>
            <w:tcW w:w="4810" w:type="dxa"/>
            <w:shd w:val="clear" w:color="auto" w:fill="D9E2F3" w:themeFill="accent1" w:themeFillTint="33"/>
          </w:tcPr>
          <w:p w14:paraId="2205A09D" w14:textId="7C96D823" w:rsidR="00672393" w:rsidRPr="00BB636E" w:rsidRDefault="003C1A02" w:rsidP="00BB636E">
            <w:pPr>
              <w:pStyle w:val="TableText"/>
              <w:rPr>
                <w:b w:val="0"/>
                <w:bCs w:val="0"/>
              </w:rPr>
            </w:pPr>
            <w:r>
              <w:rPr>
                <w:b w:val="0"/>
                <w:bCs w:val="0"/>
              </w:rPr>
              <w:t xml:space="preserve">No </w:t>
            </w:r>
            <w:r w:rsidR="00B83933">
              <w:rPr>
                <w:b w:val="0"/>
                <w:bCs w:val="0"/>
              </w:rPr>
              <w:t>collaborati</w:t>
            </w:r>
            <w:r>
              <w:rPr>
                <w:b w:val="0"/>
                <w:bCs w:val="0"/>
              </w:rPr>
              <w:t xml:space="preserve">ve industry approach to resolve </w:t>
            </w:r>
            <w:r w:rsidR="00672393" w:rsidRPr="00BB636E">
              <w:rPr>
                <w:b w:val="0"/>
                <w:bCs w:val="0"/>
              </w:rPr>
              <w:t>workforce</w:t>
            </w:r>
            <w:r w:rsidR="00B83933">
              <w:rPr>
                <w:b w:val="0"/>
                <w:bCs w:val="0"/>
              </w:rPr>
              <w:t xml:space="preserve"> issues</w:t>
            </w:r>
          </w:p>
        </w:tc>
        <w:tc>
          <w:tcPr>
            <w:tcW w:w="4811" w:type="dxa"/>
            <w:shd w:val="clear" w:color="auto" w:fill="D9E2F3" w:themeFill="accent1" w:themeFillTint="33"/>
          </w:tcPr>
          <w:p w14:paraId="4CEF7602" w14:textId="612C0071" w:rsidR="00672393" w:rsidRDefault="00672393" w:rsidP="009B4322">
            <w:pPr>
              <w:pStyle w:val="Tablelistnumber"/>
              <w:cnfStyle w:val="000000000000" w:firstRow="0" w:lastRow="0" w:firstColumn="0" w:lastColumn="0" w:oddVBand="0" w:evenVBand="0" w:oddHBand="0" w:evenHBand="0" w:firstRowFirstColumn="0" w:firstRowLastColumn="0" w:lastRowFirstColumn="0" w:lastRowLastColumn="0"/>
            </w:pPr>
            <w:r w:rsidRPr="00672393">
              <w:t xml:space="preserve">Ensuring </w:t>
            </w:r>
            <w:r w:rsidR="00B83933">
              <w:t xml:space="preserve">the </w:t>
            </w:r>
            <w:r w:rsidR="004920BB">
              <w:t xml:space="preserve">Tasmanian mining </w:t>
            </w:r>
            <w:r w:rsidRPr="00672393">
              <w:t>industry collaborat</w:t>
            </w:r>
            <w:r w:rsidR="00B83933">
              <w:t>es</w:t>
            </w:r>
            <w:r w:rsidRPr="00672393">
              <w:t xml:space="preserve"> to identify and address workforce development issues</w:t>
            </w:r>
          </w:p>
        </w:tc>
      </w:tr>
      <w:tr w:rsidR="00BB636E" w14:paraId="36718F12" w14:textId="77777777" w:rsidTr="00BB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gridSpan w:val="2"/>
            <w:shd w:val="clear" w:color="auto" w:fill="5B9BD5"/>
          </w:tcPr>
          <w:p w14:paraId="4FCAE9A0" w14:textId="21BD5C2B" w:rsidR="00BB636E" w:rsidRPr="00BB636E" w:rsidRDefault="00BB636E" w:rsidP="00BB636E">
            <w:pPr>
              <w:pStyle w:val="TableText"/>
              <w:rPr>
                <w:b w:val="0"/>
                <w:bCs w:val="0"/>
                <w:color w:val="FFFFFF" w:themeColor="background1"/>
              </w:rPr>
            </w:pPr>
            <w:r w:rsidRPr="00BB636E">
              <w:rPr>
                <w:b w:val="0"/>
                <w:bCs w:val="0"/>
                <w:color w:val="FFFFFF" w:themeColor="background1"/>
              </w:rPr>
              <w:t>Building Workforce Capacity</w:t>
            </w:r>
          </w:p>
        </w:tc>
      </w:tr>
      <w:tr w:rsidR="00672393" w14:paraId="179CA912" w14:textId="77777777" w:rsidTr="00BB636E">
        <w:tc>
          <w:tcPr>
            <w:cnfStyle w:val="001000000000" w:firstRow="0" w:lastRow="0" w:firstColumn="1" w:lastColumn="0" w:oddVBand="0" w:evenVBand="0" w:oddHBand="0" w:evenHBand="0" w:firstRowFirstColumn="0" w:firstRowLastColumn="0" w:lastRowFirstColumn="0" w:lastRowLastColumn="0"/>
            <w:tcW w:w="4810" w:type="dxa"/>
          </w:tcPr>
          <w:p w14:paraId="2144229B" w14:textId="385BD9DA" w:rsidR="00BB636E" w:rsidRPr="00BB636E" w:rsidRDefault="008D4315" w:rsidP="00BB636E">
            <w:pPr>
              <w:pStyle w:val="TableText"/>
              <w:rPr>
                <w:b w:val="0"/>
                <w:bCs w:val="0"/>
              </w:rPr>
            </w:pPr>
            <w:r>
              <w:rPr>
                <w:b w:val="0"/>
                <w:bCs w:val="0"/>
              </w:rPr>
              <w:t>Insufficient new workforce entrants</w:t>
            </w:r>
          </w:p>
        </w:tc>
        <w:tc>
          <w:tcPr>
            <w:tcW w:w="4811" w:type="dxa"/>
          </w:tcPr>
          <w:p w14:paraId="590FC699" w14:textId="0FE542D0" w:rsidR="00583EF5" w:rsidRDefault="00583EF5" w:rsidP="009B4322">
            <w:pPr>
              <w:pStyle w:val="Tablelistnumber"/>
              <w:cnfStyle w:val="000000000000" w:firstRow="0" w:lastRow="0" w:firstColumn="0" w:lastColumn="0" w:oddVBand="0" w:evenVBand="0" w:oddHBand="0" w:evenHBand="0" w:firstRowFirstColumn="0" w:firstRowLastColumn="0" w:lastRowFirstColumn="0" w:lastRowLastColumn="0"/>
            </w:pPr>
            <w:r>
              <w:t>Attracting professionals into the workforce</w:t>
            </w:r>
          </w:p>
          <w:p w14:paraId="4DF05293" w14:textId="4D42CBC0" w:rsidR="00672393" w:rsidRDefault="00583EF5" w:rsidP="009B4322">
            <w:pPr>
              <w:pStyle w:val="Tablelistnumber"/>
              <w:cnfStyle w:val="000000000000" w:firstRow="0" w:lastRow="0" w:firstColumn="0" w:lastColumn="0" w:oddVBand="0" w:evenVBand="0" w:oddHBand="0" w:evenHBand="0" w:firstRowFirstColumn="0" w:firstRowLastColumn="0" w:lastRowFirstColumn="0" w:lastRowLastColumn="0"/>
            </w:pPr>
            <w:r>
              <w:t>Attracting entry-level technical and trade workers into the workforce</w:t>
            </w:r>
          </w:p>
        </w:tc>
      </w:tr>
      <w:tr w:rsidR="00672393" w14:paraId="5E79EDEE" w14:textId="77777777" w:rsidTr="00BB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00EDEF1" w14:textId="6534F153" w:rsidR="00672393" w:rsidRPr="00BB636E" w:rsidRDefault="00583EF5" w:rsidP="00BB636E">
            <w:pPr>
              <w:pStyle w:val="TableText"/>
              <w:rPr>
                <w:b w:val="0"/>
                <w:bCs w:val="0"/>
              </w:rPr>
            </w:pPr>
            <w:r w:rsidRPr="00BB636E">
              <w:rPr>
                <w:b w:val="0"/>
                <w:bCs w:val="0"/>
              </w:rPr>
              <w:t>Attracting workers from outside the region</w:t>
            </w:r>
          </w:p>
        </w:tc>
        <w:tc>
          <w:tcPr>
            <w:tcW w:w="4811" w:type="dxa"/>
          </w:tcPr>
          <w:p w14:paraId="1CAD6343" w14:textId="4B72C07B" w:rsidR="00583EF5" w:rsidRDefault="00583EF5" w:rsidP="009B4322">
            <w:pPr>
              <w:pStyle w:val="Tablelistnumber"/>
              <w:cnfStyle w:val="000000100000" w:firstRow="0" w:lastRow="0" w:firstColumn="0" w:lastColumn="0" w:oddVBand="0" w:evenVBand="0" w:oddHBand="1" w:evenHBand="0" w:firstRowFirstColumn="0" w:firstRowLastColumn="0" w:lastRowFirstColumn="0" w:lastRowLastColumn="0"/>
            </w:pPr>
            <w:r>
              <w:t>Building the attractiveness of the region as a place to live</w:t>
            </w:r>
          </w:p>
          <w:p w14:paraId="058BC7BA" w14:textId="42C5BB42" w:rsidR="00672393" w:rsidRDefault="00583EF5" w:rsidP="009B4322">
            <w:pPr>
              <w:pStyle w:val="Tablelistnumber"/>
              <w:cnfStyle w:val="000000100000" w:firstRow="0" w:lastRow="0" w:firstColumn="0" w:lastColumn="0" w:oddVBand="0" w:evenVBand="0" w:oddHBand="1" w:evenHBand="0" w:firstRowFirstColumn="0" w:firstRowLastColumn="0" w:lastRowFirstColumn="0" w:lastRowLastColumn="0"/>
            </w:pPr>
            <w:r>
              <w:t>Providing clear career pathways</w:t>
            </w:r>
          </w:p>
        </w:tc>
      </w:tr>
      <w:tr w:rsidR="00BB636E" w14:paraId="331E5CD2" w14:textId="77777777" w:rsidTr="00BB636E">
        <w:tc>
          <w:tcPr>
            <w:cnfStyle w:val="001000000000" w:firstRow="0" w:lastRow="0" w:firstColumn="1" w:lastColumn="0" w:oddVBand="0" w:evenVBand="0" w:oddHBand="0" w:evenHBand="0" w:firstRowFirstColumn="0" w:firstRowLastColumn="0" w:lastRowFirstColumn="0" w:lastRowLastColumn="0"/>
            <w:tcW w:w="9621" w:type="dxa"/>
            <w:gridSpan w:val="2"/>
            <w:shd w:val="clear" w:color="auto" w:fill="70AD47"/>
          </w:tcPr>
          <w:p w14:paraId="35B6711E" w14:textId="703CD42B" w:rsidR="00BB636E" w:rsidRPr="00BB636E" w:rsidRDefault="00BB636E" w:rsidP="00BB636E">
            <w:pPr>
              <w:pStyle w:val="TableText"/>
              <w:rPr>
                <w:b w:val="0"/>
                <w:bCs w:val="0"/>
                <w:color w:val="FFFFFF" w:themeColor="background1"/>
              </w:rPr>
            </w:pPr>
            <w:r w:rsidRPr="00BB636E">
              <w:rPr>
                <w:b w:val="0"/>
                <w:bCs w:val="0"/>
                <w:color w:val="FFFFFF" w:themeColor="background1"/>
              </w:rPr>
              <w:t>Building Workforce Capability</w:t>
            </w:r>
          </w:p>
        </w:tc>
      </w:tr>
      <w:tr w:rsidR="00672393" w14:paraId="438E982A" w14:textId="77777777" w:rsidTr="000B1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tcPr>
          <w:p w14:paraId="2EDBC4B9" w14:textId="5525F495" w:rsidR="00672393" w:rsidRPr="00BB636E" w:rsidRDefault="00583EF5" w:rsidP="00BB636E">
            <w:pPr>
              <w:pStyle w:val="TableText"/>
              <w:rPr>
                <w:b w:val="0"/>
                <w:bCs w:val="0"/>
              </w:rPr>
            </w:pPr>
            <w:r w:rsidRPr="00BB636E">
              <w:rPr>
                <w:b w:val="0"/>
                <w:bCs w:val="0"/>
              </w:rPr>
              <w:t>An ageing workforce</w:t>
            </w:r>
          </w:p>
        </w:tc>
        <w:tc>
          <w:tcPr>
            <w:tcW w:w="4811" w:type="dxa"/>
            <w:shd w:val="clear" w:color="auto" w:fill="auto"/>
          </w:tcPr>
          <w:p w14:paraId="4016BE48" w14:textId="21C96FC3" w:rsidR="00672393" w:rsidRDefault="00583EF5" w:rsidP="009B4322">
            <w:pPr>
              <w:pStyle w:val="Tablelistnumber"/>
              <w:cnfStyle w:val="000000100000" w:firstRow="0" w:lastRow="0" w:firstColumn="0" w:lastColumn="0" w:oddVBand="0" w:evenVBand="0" w:oddHBand="1" w:evenHBand="0" w:firstRowFirstColumn="0" w:firstRowLastColumn="0" w:lastRowFirstColumn="0" w:lastRowLastColumn="0"/>
            </w:pPr>
            <w:r w:rsidRPr="00583EF5">
              <w:t>Building the skills and knowledge of new workforce entrants</w:t>
            </w:r>
          </w:p>
        </w:tc>
      </w:tr>
      <w:tr w:rsidR="00672393" w14:paraId="1D003553" w14:textId="77777777" w:rsidTr="000B132C">
        <w:tc>
          <w:tcPr>
            <w:cnfStyle w:val="001000000000" w:firstRow="0" w:lastRow="0" w:firstColumn="1" w:lastColumn="0" w:oddVBand="0" w:evenVBand="0" w:oddHBand="0" w:evenHBand="0" w:firstRowFirstColumn="0" w:firstRowLastColumn="0" w:lastRowFirstColumn="0" w:lastRowLastColumn="0"/>
            <w:tcW w:w="4810" w:type="dxa"/>
            <w:shd w:val="clear" w:color="auto" w:fill="D9E2F3" w:themeFill="accent1" w:themeFillTint="33"/>
          </w:tcPr>
          <w:p w14:paraId="50704C16" w14:textId="579A8F38" w:rsidR="00672393" w:rsidRPr="00BB636E" w:rsidRDefault="00583EF5" w:rsidP="00BB636E">
            <w:pPr>
              <w:pStyle w:val="TableText"/>
              <w:rPr>
                <w:b w:val="0"/>
                <w:bCs w:val="0"/>
              </w:rPr>
            </w:pPr>
            <w:r w:rsidRPr="00BB636E">
              <w:rPr>
                <w:b w:val="0"/>
                <w:bCs w:val="0"/>
              </w:rPr>
              <w:t>Low workforce language, literacy and numeracy skills</w:t>
            </w:r>
          </w:p>
        </w:tc>
        <w:tc>
          <w:tcPr>
            <w:tcW w:w="4811" w:type="dxa"/>
            <w:shd w:val="clear" w:color="auto" w:fill="D9E2F3" w:themeFill="accent1" w:themeFillTint="33"/>
          </w:tcPr>
          <w:p w14:paraId="7F23D71B" w14:textId="4079709D" w:rsidR="00672393" w:rsidRDefault="00583EF5" w:rsidP="009B4322">
            <w:pPr>
              <w:pStyle w:val="Tablelistnumber"/>
              <w:cnfStyle w:val="000000000000" w:firstRow="0" w:lastRow="0" w:firstColumn="0" w:lastColumn="0" w:oddVBand="0" w:evenVBand="0" w:oddHBand="0" w:evenHBand="0" w:firstRowFirstColumn="0" w:firstRowLastColumn="0" w:lastRowFirstColumn="0" w:lastRowLastColumn="0"/>
            </w:pPr>
            <w:r w:rsidRPr="00583EF5">
              <w:t xml:space="preserve">Ensuring that </w:t>
            </w:r>
            <w:r>
              <w:t xml:space="preserve">the </w:t>
            </w:r>
            <w:r w:rsidRPr="00583EF5">
              <w:t>existing and future workforce ha</w:t>
            </w:r>
            <w:r>
              <w:t>s</w:t>
            </w:r>
            <w:r w:rsidRPr="00583EF5">
              <w:t xml:space="preserve"> appropriate language, literacy and numeracy skills</w:t>
            </w:r>
          </w:p>
        </w:tc>
      </w:tr>
      <w:tr w:rsidR="00672393" w14:paraId="239E012C" w14:textId="77777777" w:rsidTr="000B1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tcPr>
          <w:p w14:paraId="2C0A7736" w14:textId="41EEB319" w:rsidR="00672393" w:rsidRPr="00BB636E" w:rsidRDefault="00BB636E" w:rsidP="00BB636E">
            <w:pPr>
              <w:pStyle w:val="TableText"/>
              <w:rPr>
                <w:b w:val="0"/>
                <w:bCs w:val="0"/>
              </w:rPr>
            </w:pPr>
            <w:r w:rsidRPr="00BB636E">
              <w:rPr>
                <w:b w:val="0"/>
                <w:bCs w:val="0"/>
              </w:rPr>
              <w:t>A</w:t>
            </w:r>
            <w:r w:rsidR="00583EF5" w:rsidRPr="00BB636E">
              <w:rPr>
                <w:b w:val="0"/>
                <w:bCs w:val="0"/>
              </w:rPr>
              <w:t>ccess</w:t>
            </w:r>
            <w:r w:rsidRPr="00BB636E">
              <w:rPr>
                <w:b w:val="0"/>
                <w:bCs w:val="0"/>
              </w:rPr>
              <w:t>ing</w:t>
            </w:r>
            <w:r w:rsidR="00583EF5" w:rsidRPr="00BB636E">
              <w:rPr>
                <w:b w:val="0"/>
                <w:bCs w:val="0"/>
              </w:rPr>
              <w:t xml:space="preserve"> training that fits business requirements</w:t>
            </w:r>
          </w:p>
        </w:tc>
        <w:tc>
          <w:tcPr>
            <w:tcW w:w="4811" w:type="dxa"/>
            <w:shd w:val="clear" w:color="auto" w:fill="auto"/>
          </w:tcPr>
          <w:p w14:paraId="3BA6FA50" w14:textId="77777777" w:rsidR="00583EF5" w:rsidRDefault="00583EF5" w:rsidP="009B4322">
            <w:pPr>
              <w:pStyle w:val="Tablelistnumber"/>
              <w:cnfStyle w:val="000000100000" w:firstRow="0" w:lastRow="0" w:firstColumn="0" w:lastColumn="0" w:oddVBand="0" w:evenVBand="0" w:oddHBand="1" w:evenHBand="0" w:firstRowFirstColumn="0" w:firstRowLastColumn="0" w:lastRowFirstColumn="0" w:lastRowLastColumn="0"/>
            </w:pPr>
            <w:r>
              <w:t>Ensuring available training fits business requirements</w:t>
            </w:r>
          </w:p>
          <w:p w14:paraId="288C2617" w14:textId="0FDDAFA6" w:rsidR="00672393" w:rsidRDefault="00583EF5" w:rsidP="009B4322">
            <w:pPr>
              <w:pStyle w:val="Tablelistnumber"/>
              <w:cnfStyle w:val="000000100000" w:firstRow="0" w:lastRow="0" w:firstColumn="0" w:lastColumn="0" w:oddVBand="0" w:evenVBand="0" w:oddHBand="1" w:evenHBand="0" w:firstRowFirstColumn="0" w:firstRowLastColumn="0" w:lastRowFirstColumn="0" w:lastRowLastColumn="0"/>
            </w:pPr>
            <w:r>
              <w:t>Ensuring that the workforce can continuously improve both hard skills (those needed to undertake the job role) and soft skills (such as leadership)</w:t>
            </w:r>
          </w:p>
        </w:tc>
      </w:tr>
      <w:tr w:rsidR="00672393" w14:paraId="2E602AEE" w14:textId="77777777" w:rsidTr="000B132C">
        <w:tc>
          <w:tcPr>
            <w:cnfStyle w:val="001000000000" w:firstRow="0" w:lastRow="0" w:firstColumn="1" w:lastColumn="0" w:oddVBand="0" w:evenVBand="0" w:oddHBand="0" w:evenHBand="0" w:firstRowFirstColumn="0" w:firstRowLastColumn="0" w:lastRowFirstColumn="0" w:lastRowLastColumn="0"/>
            <w:tcW w:w="4810" w:type="dxa"/>
            <w:shd w:val="clear" w:color="auto" w:fill="D9E2F3" w:themeFill="accent1" w:themeFillTint="33"/>
          </w:tcPr>
          <w:p w14:paraId="7F9FAD07" w14:textId="1D50A5C5" w:rsidR="00BB636E" w:rsidRPr="00BB636E" w:rsidRDefault="00B83933" w:rsidP="00BB636E">
            <w:pPr>
              <w:pStyle w:val="TableText"/>
              <w:rPr>
                <w:b w:val="0"/>
                <w:bCs w:val="0"/>
              </w:rPr>
            </w:pPr>
            <w:r>
              <w:rPr>
                <w:b w:val="0"/>
                <w:bCs w:val="0"/>
              </w:rPr>
              <w:t>E</w:t>
            </w:r>
            <w:r w:rsidR="00BB636E" w:rsidRPr="00BB636E">
              <w:rPr>
                <w:b w:val="0"/>
                <w:bCs w:val="0"/>
              </w:rPr>
              <w:t xml:space="preserve">ducation providers / training organisations </w:t>
            </w:r>
            <w:r>
              <w:rPr>
                <w:b w:val="0"/>
                <w:bCs w:val="0"/>
              </w:rPr>
              <w:t>awareness of industry skill needs</w:t>
            </w:r>
          </w:p>
        </w:tc>
        <w:tc>
          <w:tcPr>
            <w:tcW w:w="4811" w:type="dxa"/>
            <w:shd w:val="clear" w:color="auto" w:fill="D9E2F3" w:themeFill="accent1" w:themeFillTint="33"/>
          </w:tcPr>
          <w:p w14:paraId="2BBDE0A7" w14:textId="031B9800" w:rsidR="00672393" w:rsidRDefault="00583EF5" w:rsidP="009B4322">
            <w:pPr>
              <w:pStyle w:val="Tablelistnumber"/>
              <w:cnfStyle w:val="000000000000" w:firstRow="0" w:lastRow="0" w:firstColumn="0" w:lastColumn="0" w:oddVBand="0" w:evenVBand="0" w:oddHBand="0" w:evenHBand="0" w:firstRowFirstColumn="0" w:firstRowLastColumn="0" w:lastRowFirstColumn="0" w:lastRowLastColumn="0"/>
            </w:pPr>
            <w:r w:rsidRPr="00583EF5">
              <w:t>Ensuring sustainable and efficient communication between industry and education providers / training organisations</w:t>
            </w:r>
          </w:p>
        </w:tc>
      </w:tr>
      <w:tr w:rsidR="00672393" w14:paraId="7DBFD3BD" w14:textId="77777777" w:rsidTr="000B1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tcPr>
          <w:p w14:paraId="3A5BB225" w14:textId="58A6A894" w:rsidR="00672393" w:rsidRPr="00BB636E" w:rsidRDefault="00583EF5" w:rsidP="00BB636E">
            <w:pPr>
              <w:pStyle w:val="TableText"/>
              <w:rPr>
                <w:b w:val="0"/>
                <w:bCs w:val="0"/>
              </w:rPr>
            </w:pPr>
            <w:r w:rsidRPr="00BB636E">
              <w:rPr>
                <w:b w:val="0"/>
                <w:bCs w:val="0"/>
              </w:rPr>
              <w:t>Digital disruption of business processes by new technology</w:t>
            </w:r>
          </w:p>
        </w:tc>
        <w:tc>
          <w:tcPr>
            <w:tcW w:w="4811" w:type="dxa"/>
            <w:shd w:val="clear" w:color="auto" w:fill="auto"/>
          </w:tcPr>
          <w:p w14:paraId="6ACE0C6E" w14:textId="5A3B15D6" w:rsidR="00672393" w:rsidRDefault="00583EF5" w:rsidP="009B4322">
            <w:pPr>
              <w:pStyle w:val="Tablelistnumber"/>
              <w:cnfStyle w:val="000000100000" w:firstRow="0" w:lastRow="0" w:firstColumn="0" w:lastColumn="0" w:oddVBand="0" w:evenVBand="0" w:oddHBand="1" w:evenHBand="0" w:firstRowFirstColumn="0" w:firstRowLastColumn="0" w:lastRowFirstColumn="0" w:lastRowLastColumn="0"/>
            </w:pPr>
            <w:r w:rsidRPr="00583EF5">
              <w:t>Managing risks associated with digital technology</w:t>
            </w:r>
          </w:p>
        </w:tc>
      </w:tr>
      <w:bookmarkEnd w:id="23"/>
    </w:tbl>
    <w:p w14:paraId="3074E018" w14:textId="77777777" w:rsidR="00672393" w:rsidRDefault="00672393" w:rsidP="009D66EE"/>
    <w:p w14:paraId="11400230" w14:textId="5A9D8522" w:rsidR="009D66EE" w:rsidRDefault="001C4C05" w:rsidP="009D66EE">
      <w:r>
        <w:lastRenderedPageBreak/>
        <w:t xml:space="preserve">A range of other </w:t>
      </w:r>
      <w:r w:rsidR="00BB0782">
        <w:t xml:space="preserve">workforce </w:t>
      </w:r>
      <w:r w:rsidR="009D66EE">
        <w:t xml:space="preserve">issues were identified, but it was agreed that </w:t>
      </w:r>
      <w:r w:rsidR="00890EFF">
        <w:t>meeting these issues was best handled at the business level</w:t>
      </w:r>
      <w:r>
        <w:t>,</w:t>
      </w:r>
      <w:r w:rsidR="00890EFF">
        <w:t xml:space="preserve"> rather than with an industry-wide approach.  </w:t>
      </w:r>
      <w:r w:rsidR="009D66EE">
        <w:t>These other workforce issues include</w:t>
      </w:r>
      <w:r w:rsidR="00890EFF">
        <w:t>d</w:t>
      </w:r>
      <w:r w:rsidR="009D66EE">
        <w:t>:</w:t>
      </w:r>
    </w:p>
    <w:p w14:paraId="5FA0ACB3" w14:textId="10023DE2" w:rsidR="009D66EE" w:rsidRPr="00383F8A" w:rsidRDefault="00FD2027" w:rsidP="00DC3300">
      <w:pPr>
        <w:pStyle w:val="ListBullet"/>
      </w:pPr>
      <w:r>
        <w:t>Filling v</w:t>
      </w:r>
      <w:r w:rsidR="009D66EE" w:rsidRPr="00383F8A">
        <w:t>acancies</w:t>
      </w:r>
      <w:r>
        <w:t xml:space="preserve"> with workers from another Tasmanian mine site</w:t>
      </w:r>
    </w:p>
    <w:p w14:paraId="320E30E3" w14:textId="59379BFF" w:rsidR="009D66EE" w:rsidRPr="00383F8A" w:rsidRDefault="009D66EE" w:rsidP="00DC3300">
      <w:pPr>
        <w:pStyle w:val="ListBullet"/>
      </w:pPr>
      <w:r w:rsidRPr="00383F8A">
        <w:t xml:space="preserve">Retaining </w:t>
      </w:r>
      <w:r w:rsidR="001C4C05" w:rsidRPr="00383F8A">
        <w:t xml:space="preserve">workers (both </w:t>
      </w:r>
      <w:r w:rsidRPr="00383F8A">
        <w:t>new workforce entrants</w:t>
      </w:r>
      <w:r w:rsidR="001C4C05" w:rsidRPr="00383F8A">
        <w:t xml:space="preserve"> and experienced workers)</w:t>
      </w:r>
    </w:p>
    <w:p w14:paraId="022ECB7C" w14:textId="77777777" w:rsidR="009D66EE" w:rsidRPr="00383F8A" w:rsidRDefault="009D66EE" w:rsidP="00DC3300">
      <w:pPr>
        <w:pStyle w:val="ListBullet"/>
      </w:pPr>
      <w:r w:rsidRPr="00383F8A">
        <w:t>Retaining corporate knowledge</w:t>
      </w:r>
    </w:p>
    <w:p w14:paraId="5840FDA2" w14:textId="47BB3F29" w:rsidR="009D66EE" w:rsidRPr="009E4426" w:rsidRDefault="009D66EE" w:rsidP="00DC3300">
      <w:pPr>
        <w:pStyle w:val="ListBullet"/>
      </w:pPr>
      <w:r w:rsidRPr="00383F8A">
        <w:t>Maintaining work</w:t>
      </w:r>
      <w:r>
        <w:t>force wellness (e.g. issues relating to mental health, alcohol and other drugs).</w:t>
      </w:r>
    </w:p>
    <w:p w14:paraId="0508191F" w14:textId="2EB4F399" w:rsidR="00421396" w:rsidRPr="009E4426" w:rsidRDefault="00AE036A" w:rsidP="005310FD">
      <w:pPr>
        <w:pStyle w:val="UnnumberedHeading2"/>
      </w:pPr>
      <w:bookmarkStart w:id="24" w:name="_Toc24356561"/>
      <w:bookmarkStart w:id="25" w:name="_Toc24364803"/>
      <w:r>
        <w:t>Meeting the Challenges</w:t>
      </w:r>
      <w:bookmarkEnd w:id="24"/>
      <w:bookmarkEnd w:id="25"/>
    </w:p>
    <w:bookmarkEnd w:id="0"/>
    <w:p w14:paraId="19246F0E" w14:textId="63C64501" w:rsidR="00454DA9" w:rsidRDefault="003C1A02" w:rsidP="009A5BC9">
      <w:r>
        <w:t xml:space="preserve">To </w:t>
      </w:r>
      <w:r w:rsidR="00B0574F">
        <w:t xml:space="preserve">address the </w:t>
      </w:r>
      <w:r>
        <w:t xml:space="preserve">identified </w:t>
      </w:r>
      <w:r w:rsidR="00B0574F">
        <w:t>workforce challenges</w:t>
      </w:r>
      <w:r>
        <w:t xml:space="preserve">, industry stakeholders agreed upon </w:t>
      </w:r>
      <w:r w:rsidR="0062569C">
        <w:t>several</w:t>
      </w:r>
      <w:r>
        <w:t xml:space="preserve"> strategies</w:t>
      </w:r>
      <w:r w:rsidR="00454DA9">
        <w:t xml:space="preserve"> </w:t>
      </w:r>
      <w:r w:rsidR="00613033">
        <w:t xml:space="preserve">and </w:t>
      </w:r>
      <w:r w:rsidR="00454DA9">
        <w:t>the associated actions required to implement them</w:t>
      </w:r>
      <w:r w:rsidR="00D30475">
        <w:t>.</w:t>
      </w:r>
      <w:r w:rsidR="00613033">
        <w:t xml:space="preserve">  The </w:t>
      </w:r>
      <w:r w:rsidR="00D30475">
        <w:t>s</w:t>
      </w:r>
      <w:r w:rsidR="00613033">
        <w:t xml:space="preserve">trategies and the challenges they address are in </w:t>
      </w:r>
      <w:r w:rsidR="00613033">
        <w:fldChar w:fldCharType="begin"/>
      </w:r>
      <w:r w:rsidR="00613033">
        <w:instrText xml:space="preserve"> REF _Ref22558457 \h </w:instrText>
      </w:r>
      <w:r w:rsidR="00613033">
        <w:fldChar w:fldCharType="separate"/>
      </w:r>
      <w:r w:rsidR="00185227">
        <w:t xml:space="preserve">Table </w:t>
      </w:r>
      <w:r w:rsidR="00185227">
        <w:rPr>
          <w:noProof/>
        </w:rPr>
        <w:t>3</w:t>
      </w:r>
      <w:r w:rsidR="00613033">
        <w:fldChar w:fldCharType="end"/>
      </w:r>
      <w:r w:rsidR="00613033">
        <w:t xml:space="preserve"> and the Action Plan is set out </w:t>
      </w:r>
      <w:r w:rsidR="00613033" w:rsidRPr="00383F8A">
        <w:t xml:space="preserve">in </w:t>
      </w:r>
      <w:hyperlink w:anchor="_Attachment_B_–_1" w:history="1">
        <w:r w:rsidR="00613033" w:rsidRPr="00EB3FF4">
          <w:rPr>
            <w:rStyle w:val="Hyperlink"/>
          </w:rPr>
          <w:t>Attachment A</w:t>
        </w:r>
      </w:hyperlink>
      <w:r w:rsidR="00B0574F">
        <w:t xml:space="preserve">.  </w:t>
      </w:r>
    </w:p>
    <w:p w14:paraId="4FEDA3F1" w14:textId="2B02DFF3" w:rsidR="00454DA9" w:rsidRDefault="00454DA9" w:rsidP="009A5BC9">
      <w:r>
        <w:t xml:space="preserve">As the Tasmanian mining industry’s first foray into </w:t>
      </w:r>
      <w:r w:rsidR="00FB0792">
        <w:t xml:space="preserve">industry-led </w:t>
      </w:r>
      <w:r>
        <w:t>workforce development, this Plan prioritises the agreed actions as follows:</w:t>
      </w:r>
    </w:p>
    <w:p w14:paraId="6B31587D" w14:textId="40F8427E" w:rsidR="000B132C" w:rsidRDefault="000B132C" w:rsidP="000B132C">
      <w:pPr>
        <w:pStyle w:val="ListBullet"/>
      </w:pPr>
      <w:r>
        <w:t>Immediate: 0-</w:t>
      </w:r>
      <w:r w:rsidR="00FD1915">
        <w:t>24</w:t>
      </w:r>
      <w:r>
        <w:t xml:space="preserve"> months</w:t>
      </w:r>
    </w:p>
    <w:p w14:paraId="29BB2BE9" w14:textId="6B64FBE1" w:rsidR="000B132C" w:rsidRDefault="000B132C" w:rsidP="000B132C">
      <w:pPr>
        <w:pStyle w:val="ListBullet"/>
      </w:pPr>
      <w:r>
        <w:t xml:space="preserve">Medium term: </w:t>
      </w:r>
      <w:r w:rsidR="00D30475">
        <w:t>12</w:t>
      </w:r>
      <w:r w:rsidR="00FD1915">
        <w:t>-36</w:t>
      </w:r>
      <w:r>
        <w:t xml:space="preserve"> months</w:t>
      </w:r>
    </w:p>
    <w:p w14:paraId="223B3B33" w14:textId="31E1E434" w:rsidR="000B132C" w:rsidRDefault="000B132C" w:rsidP="000B132C">
      <w:pPr>
        <w:pStyle w:val="ListBullet"/>
      </w:pPr>
      <w:r>
        <w:t xml:space="preserve">Longer term: greater than </w:t>
      </w:r>
      <w:r w:rsidR="00FD1915">
        <w:t>36</w:t>
      </w:r>
      <w:r>
        <w:t xml:space="preserve"> months</w:t>
      </w:r>
      <w:r w:rsidR="00854A0C">
        <w:t>.</w:t>
      </w:r>
    </w:p>
    <w:p w14:paraId="5BBC2C0C" w14:textId="199FF10C" w:rsidR="00D30475" w:rsidRPr="00D30475" w:rsidRDefault="00454DA9" w:rsidP="00D13819">
      <w:r>
        <w:t xml:space="preserve">This will allow the industry to </w:t>
      </w:r>
      <w:r w:rsidR="00954E16">
        <w:t xml:space="preserve">focus its efforts on </w:t>
      </w:r>
      <w:r>
        <w:t>achiev</w:t>
      </w:r>
      <w:r w:rsidR="00954E16">
        <w:t>ing</w:t>
      </w:r>
      <w:r>
        <w:t xml:space="preserve"> initial successes, </w:t>
      </w:r>
      <w:r w:rsidR="00613033">
        <w:t xml:space="preserve">with </w:t>
      </w:r>
      <w:r w:rsidR="00D30475">
        <w:t>subsequent</w:t>
      </w:r>
      <w:r w:rsidR="00613033">
        <w:t xml:space="preserve"> actions then building on those </w:t>
      </w:r>
      <w:r>
        <w:t>successes.</w:t>
      </w:r>
    </w:p>
    <w:p w14:paraId="75BBF496" w14:textId="10C8D26C" w:rsidR="008C30AA" w:rsidRDefault="008C30AA" w:rsidP="008C30AA">
      <w:pPr>
        <w:pStyle w:val="Caption"/>
      </w:pPr>
      <w:bookmarkStart w:id="26" w:name="_Ref22558457"/>
      <w:r>
        <w:t xml:space="preserve">Table </w:t>
      </w:r>
      <w:r>
        <w:fldChar w:fldCharType="begin"/>
      </w:r>
      <w:r>
        <w:instrText xml:space="preserve"> SEQ Table \* ARABIC </w:instrText>
      </w:r>
      <w:r>
        <w:fldChar w:fldCharType="separate"/>
      </w:r>
      <w:r w:rsidR="00185227">
        <w:rPr>
          <w:noProof/>
        </w:rPr>
        <w:t>3</w:t>
      </w:r>
      <w:r>
        <w:fldChar w:fldCharType="end"/>
      </w:r>
      <w:bookmarkEnd w:id="26"/>
      <w:r>
        <w:t xml:space="preserve">: Strategies </w:t>
      </w:r>
      <w:r w:rsidR="00454DA9">
        <w:t xml:space="preserve">for addressing identified workforce </w:t>
      </w:r>
      <w:r>
        <w:t xml:space="preserve">challenges </w:t>
      </w:r>
    </w:p>
    <w:tbl>
      <w:tblPr>
        <w:tblStyle w:val="ListTable4-Accent11"/>
        <w:tblW w:w="0" w:type="auto"/>
        <w:tblLook w:val="04A0" w:firstRow="1" w:lastRow="0" w:firstColumn="1" w:lastColumn="0" w:noHBand="0" w:noVBand="1"/>
      </w:tblPr>
      <w:tblGrid>
        <w:gridCol w:w="7225"/>
        <w:gridCol w:w="141"/>
        <w:gridCol w:w="2255"/>
      </w:tblGrid>
      <w:tr w:rsidR="00854A0C" w14:paraId="15103F35" w14:textId="77777777" w:rsidTr="00BE21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25" w:type="dxa"/>
          </w:tcPr>
          <w:p w14:paraId="37325FD8" w14:textId="3CBAD908" w:rsidR="00854A0C" w:rsidRDefault="00854A0C" w:rsidP="002A7CAB">
            <w:pPr>
              <w:pStyle w:val="TableHeading"/>
            </w:pPr>
            <w:bookmarkStart w:id="27" w:name="_Hlk23412846"/>
            <w:r>
              <w:t>Strategy</w:t>
            </w:r>
          </w:p>
        </w:tc>
        <w:tc>
          <w:tcPr>
            <w:tcW w:w="2396" w:type="dxa"/>
            <w:gridSpan w:val="2"/>
          </w:tcPr>
          <w:p w14:paraId="2293A43B" w14:textId="3307EBD7" w:rsidR="00854A0C" w:rsidRDefault="00854A0C" w:rsidP="002A7CAB">
            <w:pPr>
              <w:pStyle w:val="TableHeading"/>
              <w:cnfStyle w:val="100000000000" w:firstRow="1" w:lastRow="0" w:firstColumn="0" w:lastColumn="0" w:oddVBand="0" w:evenVBand="0" w:oddHBand="0" w:evenHBand="0" w:firstRowFirstColumn="0" w:firstRowLastColumn="0" w:lastRowFirstColumn="0" w:lastRowLastColumn="0"/>
            </w:pPr>
            <w:r>
              <w:t>Challenge</w:t>
            </w:r>
            <w:r w:rsidR="008C30AA">
              <w:t>(s) Addressed</w:t>
            </w:r>
          </w:p>
        </w:tc>
      </w:tr>
      <w:tr w:rsidR="00126C5C" w14:paraId="52D8B124" w14:textId="77777777" w:rsidTr="0012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C00000"/>
          </w:tcPr>
          <w:p w14:paraId="26122F74" w14:textId="5B3CF17C" w:rsidR="00126C5C" w:rsidRPr="00BE2111" w:rsidRDefault="00126C5C" w:rsidP="00BE2111">
            <w:pPr>
              <w:pStyle w:val="TableText"/>
            </w:pPr>
            <w:r w:rsidRPr="00D13819">
              <w:rPr>
                <w:b w:val="0"/>
                <w:bCs w:val="0"/>
                <w:color w:val="FFFFFF" w:themeColor="background1"/>
              </w:rPr>
              <w:t>Immediate Priority</w:t>
            </w:r>
          </w:p>
        </w:tc>
        <w:tc>
          <w:tcPr>
            <w:tcW w:w="2396" w:type="dxa"/>
            <w:gridSpan w:val="2"/>
            <w:shd w:val="clear" w:color="auto" w:fill="C00000"/>
          </w:tcPr>
          <w:p w14:paraId="22B347DD" w14:textId="77777777" w:rsidR="00126C5C" w:rsidRDefault="00126C5C" w:rsidP="002A7CAB">
            <w:pPr>
              <w:pStyle w:val="TableText"/>
              <w:cnfStyle w:val="000000100000" w:firstRow="0" w:lastRow="0" w:firstColumn="0" w:lastColumn="0" w:oddVBand="0" w:evenVBand="0" w:oddHBand="1" w:evenHBand="0" w:firstRowFirstColumn="0" w:firstRowLastColumn="0" w:lastRowFirstColumn="0" w:lastRowLastColumn="0"/>
            </w:pPr>
          </w:p>
        </w:tc>
      </w:tr>
      <w:tr w:rsidR="000E31DA" w14:paraId="2375719A" w14:textId="77777777" w:rsidTr="00FC1FE0">
        <w:tc>
          <w:tcPr>
            <w:cnfStyle w:val="001000000000" w:firstRow="0" w:lastRow="0" w:firstColumn="1" w:lastColumn="0" w:oddVBand="0" w:evenVBand="0" w:oddHBand="0" w:evenHBand="0" w:firstRowFirstColumn="0" w:firstRowLastColumn="0" w:lastRowFirstColumn="0" w:lastRowLastColumn="0"/>
            <w:tcW w:w="7225" w:type="dxa"/>
            <w:shd w:val="clear" w:color="auto" w:fill="D9E2F3" w:themeFill="accent1" w:themeFillTint="33"/>
          </w:tcPr>
          <w:p w14:paraId="5221E8BA" w14:textId="77777777" w:rsidR="000E31DA" w:rsidRPr="00BE2111" w:rsidRDefault="000E31DA" w:rsidP="00FC1FE0">
            <w:pPr>
              <w:pStyle w:val="TableText"/>
              <w:rPr>
                <w:b w:val="0"/>
                <w:bCs w:val="0"/>
              </w:rPr>
            </w:pPr>
            <w:r w:rsidRPr="00BE2111">
              <w:rPr>
                <w:b w:val="0"/>
                <w:bCs w:val="0"/>
              </w:rPr>
              <w:t>Establish an ongoing Tasmanian mining industry Workforce Development Group to progress the strategies and actions of this Plan and to discuss future workforce issues as they arise</w:t>
            </w:r>
          </w:p>
        </w:tc>
        <w:tc>
          <w:tcPr>
            <w:tcW w:w="2396" w:type="dxa"/>
            <w:gridSpan w:val="2"/>
            <w:shd w:val="clear" w:color="auto" w:fill="D9E2F3" w:themeFill="accent1" w:themeFillTint="33"/>
          </w:tcPr>
          <w:p w14:paraId="79EA1004" w14:textId="77777777" w:rsidR="000E31DA" w:rsidRDefault="000E31DA" w:rsidP="00FC1FE0">
            <w:pPr>
              <w:pStyle w:val="TableText"/>
              <w:cnfStyle w:val="000000000000" w:firstRow="0" w:lastRow="0" w:firstColumn="0" w:lastColumn="0" w:oddVBand="0" w:evenVBand="0" w:oddHBand="0" w:evenHBand="0" w:firstRowFirstColumn="0" w:firstRowLastColumn="0" w:lastRowFirstColumn="0" w:lastRowLastColumn="0"/>
            </w:pPr>
            <w:r>
              <w:t>Challenge 1</w:t>
            </w:r>
          </w:p>
        </w:tc>
      </w:tr>
      <w:tr w:rsidR="00FB0792" w14:paraId="45B5118E" w14:textId="77777777" w:rsidTr="0024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6FB7964E" w14:textId="59EC599A" w:rsidR="00FB0792" w:rsidRPr="009C097B" w:rsidRDefault="00FB0792" w:rsidP="00BE2111">
            <w:pPr>
              <w:pStyle w:val="TableText"/>
              <w:rPr>
                <w:b w:val="0"/>
                <w:bCs w:val="0"/>
              </w:rPr>
            </w:pPr>
            <w:r w:rsidRPr="00241CA8">
              <w:rPr>
                <w:b w:val="0"/>
                <w:bCs w:val="0"/>
              </w:rPr>
              <w:t>Develop initiatives that will attract workers into the Tasmanian mining industry</w:t>
            </w:r>
          </w:p>
        </w:tc>
        <w:tc>
          <w:tcPr>
            <w:tcW w:w="2396" w:type="dxa"/>
            <w:gridSpan w:val="2"/>
            <w:shd w:val="clear" w:color="auto" w:fill="auto"/>
          </w:tcPr>
          <w:p w14:paraId="710E1E80" w14:textId="204C3025" w:rsidR="00FB0792" w:rsidRDefault="007C0477" w:rsidP="002A7CAB">
            <w:pPr>
              <w:pStyle w:val="TableText"/>
              <w:cnfStyle w:val="000000100000" w:firstRow="0" w:lastRow="0" w:firstColumn="0" w:lastColumn="0" w:oddVBand="0" w:evenVBand="0" w:oddHBand="1" w:evenHBand="0" w:firstRowFirstColumn="0" w:firstRowLastColumn="0" w:lastRowFirstColumn="0" w:lastRowLastColumn="0"/>
            </w:pPr>
            <w:r>
              <w:t>Challenges 2, 3, 4 and 5</w:t>
            </w:r>
          </w:p>
        </w:tc>
      </w:tr>
      <w:tr w:rsidR="00854A0C" w14:paraId="18E5DAC2" w14:textId="77777777" w:rsidTr="00241CA8">
        <w:tc>
          <w:tcPr>
            <w:cnfStyle w:val="001000000000" w:firstRow="0" w:lastRow="0" w:firstColumn="1" w:lastColumn="0" w:oddVBand="0" w:evenVBand="0" w:oddHBand="0" w:evenHBand="0" w:firstRowFirstColumn="0" w:firstRowLastColumn="0" w:lastRowFirstColumn="0" w:lastRowLastColumn="0"/>
            <w:tcW w:w="7225" w:type="dxa"/>
            <w:shd w:val="clear" w:color="auto" w:fill="D9E2F3" w:themeFill="accent1" w:themeFillTint="33"/>
          </w:tcPr>
          <w:p w14:paraId="48E0664F" w14:textId="6B9469AF" w:rsidR="00854A0C" w:rsidRPr="00BE2111" w:rsidRDefault="00854A0C" w:rsidP="00BE2111">
            <w:pPr>
              <w:pStyle w:val="TableText"/>
              <w:rPr>
                <w:b w:val="0"/>
                <w:bCs w:val="0"/>
              </w:rPr>
            </w:pPr>
            <w:r w:rsidRPr="00BE2111">
              <w:rPr>
                <w:b w:val="0"/>
                <w:bCs w:val="0"/>
              </w:rPr>
              <w:t>Develop job readiness training that can be undertaken before entering mining sites to ensure that new workforce entrants are both appropriate and capable</w:t>
            </w:r>
          </w:p>
        </w:tc>
        <w:tc>
          <w:tcPr>
            <w:tcW w:w="2396" w:type="dxa"/>
            <w:gridSpan w:val="2"/>
            <w:shd w:val="clear" w:color="auto" w:fill="D9E2F3" w:themeFill="accent1" w:themeFillTint="33"/>
          </w:tcPr>
          <w:p w14:paraId="63C1B266" w14:textId="44A66063" w:rsidR="00972E5A" w:rsidRDefault="00972E5A" w:rsidP="002A7CAB">
            <w:pPr>
              <w:pStyle w:val="TableText"/>
              <w:cnfStyle w:val="000000000000" w:firstRow="0" w:lastRow="0" w:firstColumn="0" w:lastColumn="0" w:oddVBand="0" w:evenVBand="0" w:oddHBand="0" w:evenHBand="0" w:firstRowFirstColumn="0" w:firstRowLastColumn="0" w:lastRowFirstColumn="0" w:lastRowLastColumn="0"/>
            </w:pPr>
            <w:r>
              <w:t>Challenges 3, 6 and 7</w:t>
            </w:r>
          </w:p>
        </w:tc>
      </w:tr>
      <w:tr w:rsidR="00854A0C" w14:paraId="59A21995" w14:textId="77777777" w:rsidTr="0024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450606F0" w14:textId="7809416B" w:rsidR="00854A0C" w:rsidRPr="00BE2111" w:rsidRDefault="00854A0C" w:rsidP="00BE2111">
            <w:pPr>
              <w:pStyle w:val="TableText"/>
              <w:rPr>
                <w:b w:val="0"/>
                <w:bCs w:val="0"/>
              </w:rPr>
            </w:pPr>
            <w:r w:rsidRPr="00BE2111">
              <w:rPr>
                <w:b w:val="0"/>
                <w:bCs w:val="0"/>
              </w:rPr>
              <w:t>Encourage close collaboration between industry and education providers / training organisations</w:t>
            </w:r>
          </w:p>
        </w:tc>
        <w:tc>
          <w:tcPr>
            <w:tcW w:w="2396" w:type="dxa"/>
            <w:gridSpan w:val="2"/>
            <w:shd w:val="clear" w:color="auto" w:fill="auto"/>
          </w:tcPr>
          <w:p w14:paraId="13450373" w14:textId="633722E7" w:rsidR="00972E5A" w:rsidRDefault="00972E5A" w:rsidP="002A7CAB">
            <w:pPr>
              <w:pStyle w:val="TableText"/>
              <w:cnfStyle w:val="000000100000" w:firstRow="0" w:lastRow="0" w:firstColumn="0" w:lastColumn="0" w:oddVBand="0" w:evenVBand="0" w:oddHBand="1" w:evenHBand="0" w:firstRowFirstColumn="0" w:firstRowLastColumn="0" w:lastRowFirstColumn="0" w:lastRowLastColumn="0"/>
            </w:pPr>
            <w:r>
              <w:t>Challenges 8, 9 and 10</w:t>
            </w:r>
          </w:p>
        </w:tc>
      </w:tr>
      <w:tr w:rsidR="000E31DA" w14:paraId="31B5F72F" w14:textId="77777777" w:rsidTr="000E31DA">
        <w:tc>
          <w:tcPr>
            <w:cnfStyle w:val="001000000000" w:firstRow="0" w:lastRow="0" w:firstColumn="1" w:lastColumn="0" w:oddVBand="0" w:evenVBand="0" w:oddHBand="0" w:evenHBand="0" w:firstRowFirstColumn="0" w:firstRowLastColumn="0" w:lastRowFirstColumn="0" w:lastRowLastColumn="0"/>
            <w:tcW w:w="7366" w:type="dxa"/>
            <w:gridSpan w:val="2"/>
            <w:shd w:val="clear" w:color="auto" w:fill="7030A0"/>
          </w:tcPr>
          <w:p w14:paraId="44523E45" w14:textId="77777777" w:rsidR="000E31DA" w:rsidRPr="00D13819" w:rsidRDefault="000E31DA" w:rsidP="00D13819">
            <w:pPr>
              <w:pStyle w:val="TableText"/>
              <w:rPr>
                <w:color w:val="FFFFFF" w:themeColor="background1"/>
              </w:rPr>
            </w:pPr>
            <w:r w:rsidRPr="00D13819">
              <w:rPr>
                <w:b w:val="0"/>
                <w:bCs w:val="0"/>
                <w:color w:val="FFFFFF" w:themeColor="background1"/>
              </w:rPr>
              <w:t>Medium Term Priority</w:t>
            </w:r>
          </w:p>
        </w:tc>
        <w:tc>
          <w:tcPr>
            <w:tcW w:w="2255" w:type="dxa"/>
            <w:shd w:val="clear" w:color="auto" w:fill="7030A0"/>
          </w:tcPr>
          <w:p w14:paraId="671F2AB3" w14:textId="5173034B" w:rsidR="000E31DA" w:rsidRPr="00D13819" w:rsidRDefault="000E31DA" w:rsidP="00D13819">
            <w:pPr>
              <w:pStyle w:val="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00854A0C" w14:paraId="28691C72" w14:textId="77777777" w:rsidTr="00DD4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2CD89DF7" w14:textId="60D9B75A" w:rsidR="00854A0C" w:rsidRPr="00BE2111" w:rsidRDefault="000814DC" w:rsidP="00BE2111">
            <w:pPr>
              <w:pStyle w:val="TableText"/>
              <w:rPr>
                <w:b w:val="0"/>
                <w:bCs w:val="0"/>
              </w:rPr>
            </w:pPr>
            <w:r w:rsidRPr="00BE2111">
              <w:rPr>
                <w:b w:val="0"/>
                <w:bCs w:val="0"/>
              </w:rPr>
              <w:t>Improve the language, literacy and numeracy standards of the workforce</w:t>
            </w:r>
          </w:p>
        </w:tc>
        <w:tc>
          <w:tcPr>
            <w:tcW w:w="2396" w:type="dxa"/>
            <w:gridSpan w:val="2"/>
          </w:tcPr>
          <w:p w14:paraId="0D30E90C" w14:textId="46124324" w:rsidR="00972E5A" w:rsidRDefault="00972E5A" w:rsidP="002A7CAB">
            <w:pPr>
              <w:pStyle w:val="TableText"/>
              <w:cnfStyle w:val="000000100000" w:firstRow="0" w:lastRow="0" w:firstColumn="0" w:lastColumn="0" w:oddVBand="0" w:evenVBand="0" w:oddHBand="1" w:evenHBand="0" w:firstRowFirstColumn="0" w:firstRowLastColumn="0" w:lastRowFirstColumn="0" w:lastRowLastColumn="0"/>
            </w:pPr>
            <w:r>
              <w:t>Challenges 6 and 7</w:t>
            </w:r>
          </w:p>
        </w:tc>
      </w:tr>
      <w:tr w:rsidR="000E31DA" w14:paraId="38010D12" w14:textId="77777777" w:rsidTr="000E31DA">
        <w:tc>
          <w:tcPr>
            <w:cnfStyle w:val="001000000000" w:firstRow="0" w:lastRow="0" w:firstColumn="1" w:lastColumn="0" w:oddVBand="0" w:evenVBand="0" w:oddHBand="0" w:evenHBand="0" w:firstRowFirstColumn="0" w:firstRowLastColumn="0" w:lastRowFirstColumn="0" w:lastRowLastColumn="0"/>
            <w:tcW w:w="7366" w:type="dxa"/>
            <w:gridSpan w:val="2"/>
            <w:shd w:val="clear" w:color="auto" w:fill="385623" w:themeFill="accent6" w:themeFillShade="80"/>
          </w:tcPr>
          <w:p w14:paraId="73AE0220" w14:textId="77777777" w:rsidR="000E31DA" w:rsidRPr="00D13819" w:rsidRDefault="000E31DA" w:rsidP="00D13819">
            <w:pPr>
              <w:pStyle w:val="TableText"/>
              <w:rPr>
                <w:color w:val="FFFFFF" w:themeColor="background1"/>
              </w:rPr>
            </w:pPr>
            <w:r w:rsidRPr="00D13819">
              <w:rPr>
                <w:b w:val="0"/>
                <w:bCs w:val="0"/>
                <w:color w:val="FFFFFF" w:themeColor="background1"/>
              </w:rPr>
              <w:t>Longer Term Priority</w:t>
            </w:r>
          </w:p>
        </w:tc>
        <w:tc>
          <w:tcPr>
            <w:tcW w:w="2255" w:type="dxa"/>
            <w:shd w:val="clear" w:color="auto" w:fill="385623" w:themeFill="accent6" w:themeFillShade="80"/>
          </w:tcPr>
          <w:p w14:paraId="1B702325" w14:textId="7685522A" w:rsidR="000E31DA" w:rsidRPr="00D13819" w:rsidRDefault="000E31DA" w:rsidP="00D13819">
            <w:pPr>
              <w:pStyle w:val="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00854A0C" w14:paraId="5E1F6FD8" w14:textId="77777777" w:rsidTr="0024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1B5F4215" w14:textId="1EDAE630" w:rsidR="00854A0C" w:rsidRPr="00BE2111" w:rsidRDefault="0062569C" w:rsidP="00473A40">
            <w:pPr>
              <w:pStyle w:val="TableText"/>
              <w:rPr>
                <w:b w:val="0"/>
                <w:bCs w:val="0"/>
              </w:rPr>
            </w:pPr>
            <w:r w:rsidRPr="0062569C">
              <w:rPr>
                <w:b w:val="0"/>
                <w:bCs w:val="0"/>
              </w:rPr>
              <w:t>Support entry to the industry at all levels by developing occupational career pathways</w:t>
            </w:r>
          </w:p>
        </w:tc>
        <w:tc>
          <w:tcPr>
            <w:tcW w:w="2396" w:type="dxa"/>
            <w:gridSpan w:val="2"/>
            <w:shd w:val="clear" w:color="auto" w:fill="auto"/>
          </w:tcPr>
          <w:p w14:paraId="3076F19A" w14:textId="613636CE" w:rsidR="00972E5A" w:rsidRDefault="00972E5A" w:rsidP="009B4322">
            <w:pPr>
              <w:pStyle w:val="TableText"/>
              <w:cnfStyle w:val="000000100000" w:firstRow="0" w:lastRow="0" w:firstColumn="0" w:lastColumn="0" w:oddVBand="0" w:evenVBand="0" w:oddHBand="1" w:evenHBand="0" w:firstRowFirstColumn="0" w:firstRowLastColumn="0" w:lastRowFirstColumn="0" w:lastRowLastColumn="0"/>
            </w:pPr>
            <w:r>
              <w:t>Challenges 2, 3 and 5</w:t>
            </w:r>
          </w:p>
        </w:tc>
      </w:tr>
      <w:tr w:rsidR="00854A0C" w14:paraId="4CB91CF8" w14:textId="77777777" w:rsidTr="00241CA8">
        <w:tc>
          <w:tcPr>
            <w:cnfStyle w:val="001000000000" w:firstRow="0" w:lastRow="0" w:firstColumn="1" w:lastColumn="0" w:oddVBand="0" w:evenVBand="0" w:oddHBand="0" w:evenHBand="0" w:firstRowFirstColumn="0" w:firstRowLastColumn="0" w:lastRowFirstColumn="0" w:lastRowLastColumn="0"/>
            <w:tcW w:w="7225" w:type="dxa"/>
            <w:shd w:val="clear" w:color="auto" w:fill="D9E2F3" w:themeFill="accent1" w:themeFillTint="33"/>
          </w:tcPr>
          <w:p w14:paraId="4D5B142F" w14:textId="3491DE28" w:rsidR="00854A0C" w:rsidRPr="00BE2111" w:rsidRDefault="000814DC" w:rsidP="00BE2111">
            <w:pPr>
              <w:pStyle w:val="TableText"/>
              <w:rPr>
                <w:b w:val="0"/>
                <w:bCs w:val="0"/>
              </w:rPr>
            </w:pPr>
            <w:r w:rsidRPr="00BE2111">
              <w:rPr>
                <w:b w:val="0"/>
                <w:bCs w:val="0"/>
              </w:rPr>
              <w:t>Support continuous mining workforce learning and improvement</w:t>
            </w:r>
          </w:p>
        </w:tc>
        <w:tc>
          <w:tcPr>
            <w:tcW w:w="2396" w:type="dxa"/>
            <w:gridSpan w:val="2"/>
            <w:shd w:val="clear" w:color="auto" w:fill="D9E2F3" w:themeFill="accent1" w:themeFillTint="33"/>
          </w:tcPr>
          <w:p w14:paraId="3A2230DB" w14:textId="01FF8762" w:rsidR="00854A0C" w:rsidRDefault="00A57710" w:rsidP="002A7CAB">
            <w:pPr>
              <w:pStyle w:val="TableText"/>
              <w:cnfStyle w:val="000000000000" w:firstRow="0" w:lastRow="0" w:firstColumn="0" w:lastColumn="0" w:oddVBand="0" w:evenVBand="0" w:oddHBand="0" w:evenHBand="0" w:firstRowFirstColumn="0" w:firstRowLastColumn="0" w:lastRowFirstColumn="0" w:lastRowLastColumn="0"/>
            </w:pPr>
            <w:r>
              <w:t>Challenges 7, 9 and 11</w:t>
            </w:r>
          </w:p>
        </w:tc>
      </w:tr>
      <w:tr w:rsidR="00854A0C" w14:paraId="02DCEC00" w14:textId="77777777" w:rsidTr="0024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77129592" w14:textId="4A12997F" w:rsidR="00854A0C" w:rsidRPr="00BE2111" w:rsidRDefault="000814DC" w:rsidP="00BE2111">
            <w:pPr>
              <w:pStyle w:val="TableText"/>
              <w:rPr>
                <w:b w:val="0"/>
                <w:bCs w:val="0"/>
              </w:rPr>
            </w:pPr>
            <w:r w:rsidRPr="00BE2111">
              <w:rPr>
                <w:b w:val="0"/>
                <w:bCs w:val="0"/>
              </w:rPr>
              <w:t>Ensure that industry effectively influences national training package development to ensure its skills needs are met</w:t>
            </w:r>
          </w:p>
        </w:tc>
        <w:tc>
          <w:tcPr>
            <w:tcW w:w="2396" w:type="dxa"/>
            <w:gridSpan w:val="2"/>
            <w:shd w:val="clear" w:color="auto" w:fill="auto"/>
          </w:tcPr>
          <w:p w14:paraId="1F00F5A8" w14:textId="155A017B" w:rsidR="00854A0C" w:rsidRDefault="00A57710" w:rsidP="002A7CAB">
            <w:pPr>
              <w:pStyle w:val="TableText"/>
              <w:cnfStyle w:val="000000100000" w:firstRow="0" w:lastRow="0" w:firstColumn="0" w:lastColumn="0" w:oddVBand="0" w:evenVBand="0" w:oddHBand="1" w:evenHBand="0" w:firstRowFirstColumn="0" w:firstRowLastColumn="0" w:lastRowFirstColumn="0" w:lastRowLastColumn="0"/>
            </w:pPr>
            <w:r>
              <w:t>Challenge 8 and 9</w:t>
            </w:r>
          </w:p>
        </w:tc>
      </w:tr>
    </w:tbl>
    <w:p w14:paraId="086B08E4" w14:textId="65F419B5" w:rsidR="0029200E" w:rsidRDefault="006861D7" w:rsidP="005310FD">
      <w:pPr>
        <w:pStyle w:val="UnnumberedHeading2"/>
      </w:pPr>
      <w:bookmarkStart w:id="28" w:name="_Toc24356562"/>
      <w:bookmarkStart w:id="29" w:name="_Toc24364804"/>
      <w:bookmarkEnd w:id="27"/>
      <w:r>
        <w:lastRenderedPageBreak/>
        <w:t>Implementing th</w:t>
      </w:r>
      <w:r w:rsidR="00EC2BA8">
        <w:t>is</w:t>
      </w:r>
      <w:r>
        <w:t xml:space="preserve"> Plan</w:t>
      </w:r>
      <w:bookmarkEnd w:id="28"/>
      <w:bookmarkEnd w:id="29"/>
    </w:p>
    <w:p w14:paraId="5FE883C4" w14:textId="7EAA9667" w:rsidR="00F65DEC" w:rsidRPr="00BC6697" w:rsidRDefault="00613033" w:rsidP="00E35E49">
      <w:r>
        <w:t xml:space="preserve">The effective implementation of </w:t>
      </w:r>
      <w:r w:rsidR="00F65DEC" w:rsidRPr="00BC6697">
        <w:t>th</w:t>
      </w:r>
      <w:r w:rsidR="00EC2BA8" w:rsidRPr="00BC6697">
        <w:t xml:space="preserve">is </w:t>
      </w:r>
      <w:r w:rsidR="00F65DEC" w:rsidRPr="00BC6697">
        <w:t>Plan requires sustainable governance that supports ongoing collaboration within the industry.  The first strategy</w:t>
      </w:r>
      <w:r w:rsidR="008B7A65">
        <w:t xml:space="preserve"> to be implemented is </w:t>
      </w:r>
      <w:r w:rsidR="0035655D">
        <w:t>to</w:t>
      </w:r>
      <w:r w:rsidR="0035655D" w:rsidRPr="00BC6697">
        <w:t xml:space="preserve"> </w:t>
      </w:r>
      <w:r w:rsidR="00F65DEC" w:rsidRPr="00BC6697">
        <w:t>establish</w:t>
      </w:r>
      <w:r w:rsidR="008B7A65">
        <w:t xml:space="preserve"> </w:t>
      </w:r>
      <w:r w:rsidR="00F65DEC" w:rsidRPr="00BC6697">
        <w:t xml:space="preserve">a Tasmanian mining industry </w:t>
      </w:r>
      <w:r w:rsidRPr="00BC6697">
        <w:t xml:space="preserve">Workforce Development Group </w:t>
      </w:r>
      <w:r w:rsidR="00F65DEC" w:rsidRPr="00BC6697">
        <w:t>to</w:t>
      </w:r>
      <w:r w:rsidR="003D4C44" w:rsidRPr="00BC6697">
        <w:t>:</w:t>
      </w:r>
    </w:p>
    <w:p w14:paraId="7FE56FBC" w14:textId="758BF854" w:rsidR="009501EC" w:rsidRDefault="009501EC" w:rsidP="00DC3300">
      <w:pPr>
        <w:pStyle w:val="ListBullet"/>
      </w:pPr>
      <w:r w:rsidRPr="00BC6697">
        <w:t>Oversee the implementation of this Plan</w:t>
      </w:r>
    </w:p>
    <w:p w14:paraId="15C298D7" w14:textId="2C48BD84" w:rsidR="00954E16" w:rsidRPr="00BC6697" w:rsidRDefault="00954E16" w:rsidP="00DC3300">
      <w:pPr>
        <w:pStyle w:val="ListBullet"/>
      </w:pPr>
      <w:r>
        <w:t>Identify the resources required to support this Plan’s implementation</w:t>
      </w:r>
    </w:p>
    <w:p w14:paraId="44FAE377" w14:textId="5BA44009" w:rsidR="003D4C44" w:rsidRPr="00BC6697" w:rsidRDefault="003D4C44" w:rsidP="00DC3300">
      <w:pPr>
        <w:pStyle w:val="ListBullet"/>
      </w:pPr>
      <w:r w:rsidRPr="00BC6697">
        <w:t>Engag</w:t>
      </w:r>
      <w:r w:rsidR="009501EC" w:rsidRPr="00BC6697">
        <w:t>e</w:t>
      </w:r>
      <w:r w:rsidRPr="00BC6697">
        <w:t xml:space="preserve"> with appropriate stakeholders who can lead or support the implementation of each action</w:t>
      </w:r>
    </w:p>
    <w:p w14:paraId="54549D2B" w14:textId="132B7F75" w:rsidR="003D4C44" w:rsidRPr="00BC6697" w:rsidRDefault="00872805" w:rsidP="00DC3300">
      <w:pPr>
        <w:pStyle w:val="ListBullet"/>
      </w:pPr>
      <w:r w:rsidRPr="00BC6697">
        <w:t>Maintain and updat</w:t>
      </w:r>
      <w:r w:rsidR="009501EC" w:rsidRPr="00BC6697">
        <w:t>e</w:t>
      </w:r>
      <w:r w:rsidRPr="00BC6697">
        <w:t>, through regular review, th</w:t>
      </w:r>
      <w:r w:rsidR="00BC6697" w:rsidRPr="00BC6697">
        <w:t>is Plan and the associated Workforce Profile</w:t>
      </w:r>
      <w:r w:rsidRPr="00BC6697">
        <w:t>.</w:t>
      </w:r>
    </w:p>
    <w:p w14:paraId="49FFB0A3" w14:textId="66E45B01" w:rsidR="00FB5CC6" w:rsidRDefault="00FB5CC6" w:rsidP="00613033">
      <w:r>
        <w:t>It is critical that the Workforce Development Group should be industry</w:t>
      </w:r>
      <w:r w:rsidR="00BE2838">
        <w:t>-</w:t>
      </w:r>
      <w:r>
        <w:t xml:space="preserve">driven to maintain a focus on strategic industry priorities.  For this reason, membership of this group </w:t>
      </w:r>
      <w:r w:rsidR="0035655D">
        <w:t xml:space="preserve">will </w:t>
      </w:r>
      <w:r>
        <w:t xml:space="preserve">be confined to leading industry </w:t>
      </w:r>
      <w:r w:rsidR="00BE2838">
        <w:t>members</w:t>
      </w:r>
      <w:r>
        <w:t>.</w:t>
      </w:r>
      <w:r w:rsidR="00D6367F">
        <w:t xml:space="preserve">  </w:t>
      </w:r>
      <w:r w:rsidR="002D7310">
        <w:t>The involvement of s</w:t>
      </w:r>
      <w:r w:rsidR="00D6367F">
        <w:t xml:space="preserve">ervice </w:t>
      </w:r>
      <w:r w:rsidR="00BE2838">
        <w:t>organisations, such as</w:t>
      </w:r>
      <w:r>
        <w:t xml:space="preserve"> education and training providers</w:t>
      </w:r>
      <w:r w:rsidR="0035655D">
        <w:t>,</w:t>
      </w:r>
      <w:r w:rsidR="00BE2838">
        <w:t xml:space="preserve"> or </w:t>
      </w:r>
      <w:r w:rsidR="0035655D">
        <w:t xml:space="preserve">the State Government </w:t>
      </w:r>
      <w:r>
        <w:t>(</w:t>
      </w:r>
      <w:r w:rsidR="00BE2838">
        <w:t xml:space="preserve">Actions </w:t>
      </w:r>
      <w:r w:rsidR="002D7310">
        <w:t>4</w:t>
      </w:r>
      <w:r w:rsidR="00BE2838">
        <w:t xml:space="preserve">, </w:t>
      </w:r>
      <w:r w:rsidR="002D7310">
        <w:t>8</w:t>
      </w:r>
      <w:r w:rsidR="00BE2838">
        <w:t xml:space="preserve">, </w:t>
      </w:r>
      <w:r w:rsidR="002D7310">
        <w:t>9</w:t>
      </w:r>
      <w:r w:rsidR="00BE2838">
        <w:t xml:space="preserve">, </w:t>
      </w:r>
      <w:r w:rsidR="002D7310">
        <w:t>10, 15</w:t>
      </w:r>
      <w:r w:rsidR="00BE2838">
        <w:t xml:space="preserve"> and 1</w:t>
      </w:r>
      <w:r w:rsidR="002D7310">
        <w:t>6</w:t>
      </w:r>
      <w:r>
        <w:t>)</w:t>
      </w:r>
      <w:r w:rsidR="00BE2838">
        <w:t>,</w:t>
      </w:r>
      <w:r>
        <w:t xml:space="preserve"> should be overseen by </w:t>
      </w:r>
      <w:r w:rsidR="00AC7AC9">
        <w:t>this group</w:t>
      </w:r>
      <w:r>
        <w:t xml:space="preserve"> but involve a separate committee</w:t>
      </w:r>
      <w:r w:rsidR="00183A94">
        <w:t xml:space="preserve"> or </w:t>
      </w:r>
      <w:r>
        <w:t>working group</w:t>
      </w:r>
      <w:r w:rsidR="00BE2838">
        <w:t>.</w:t>
      </w:r>
    </w:p>
    <w:p w14:paraId="49BB4C64" w14:textId="40BAEA05" w:rsidR="005716D7" w:rsidRDefault="005716D7" w:rsidP="005716D7">
      <w:r w:rsidRPr="00241CA8">
        <w:t xml:space="preserve">The Tasmanian Minerals, Manufacturing and Energy Council (TMEC) is responsible for convening and supporting the Workforce Development Group.  TMEC </w:t>
      </w:r>
      <w:r w:rsidR="0035655D" w:rsidRPr="00241CA8">
        <w:t>has estimated that supporting the Group will require 1 full time equivalent (</w:t>
      </w:r>
      <w:r w:rsidRPr="00241CA8">
        <w:t xml:space="preserve">a Strategic Coordinator (0.6FTE) </w:t>
      </w:r>
      <w:r w:rsidR="0035655D" w:rsidRPr="00241CA8">
        <w:t xml:space="preserve">and </w:t>
      </w:r>
      <w:r w:rsidRPr="00241CA8">
        <w:t>secretariat support (0.4FTE)</w:t>
      </w:r>
      <w:r w:rsidR="0035655D" w:rsidRPr="00241CA8">
        <w:t>)</w:t>
      </w:r>
      <w:r w:rsidRPr="00241CA8">
        <w:t>.</w:t>
      </w:r>
    </w:p>
    <w:p w14:paraId="00A201C6" w14:textId="3C1CCCA4" w:rsidR="00613033" w:rsidRDefault="00BC6697" w:rsidP="00613033">
      <w:r w:rsidRPr="00BC6697">
        <w:t xml:space="preserve">This </w:t>
      </w:r>
      <w:r w:rsidR="00872805" w:rsidRPr="00BC6697">
        <w:t>Plan should be considered a living document that is updated with new challenges, strategies and actions in response to emerging workforce issues.</w:t>
      </w:r>
      <w:bookmarkStart w:id="30" w:name="_Attachment_A_–"/>
      <w:bookmarkStart w:id="31" w:name="_Attachment_B_–"/>
      <w:bookmarkEnd w:id="30"/>
      <w:bookmarkEnd w:id="31"/>
      <w:r w:rsidR="00613033">
        <w:t xml:space="preserve">  Consequently, over its three-year lifespan, the strategies and actions contained in this Plan should be reviewed annually by the </w:t>
      </w:r>
      <w:r w:rsidR="00613033" w:rsidRPr="00BC6697">
        <w:t>Workforce Development Group</w:t>
      </w:r>
      <w:r w:rsidR="00613033">
        <w:t>.  This will ensure that this Plan can build on the success and lessons of current action, as well as remaining focused on the key workforce issues and challenges.</w:t>
      </w:r>
    </w:p>
    <w:p w14:paraId="4E2B083F" w14:textId="2F2FCFAD" w:rsidR="00613033" w:rsidRDefault="00613033" w:rsidP="00B0391C">
      <w:pPr>
        <w:sectPr w:rsidR="00613033" w:rsidSect="008F78D2">
          <w:pgSz w:w="11899" w:h="16838"/>
          <w:pgMar w:top="1418" w:right="1134" w:bottom="567" w:left="1134" w:header="567" w:footer="851" w:gutter="0"/>
          <w:pgNumType w:start="1"/>
          <w:cols w:space="708"/>
          <w:titlePg/>
          <w:docGrid w:linePitch="299"/>
        </w:sectPr>
      </w:pPr>
    </w:p>
    <w:p w14:paraId="79D30224" w14:textId="4418BF48" w:rsidR="000A7A28" w:rsidRDefault="000A7A28" w:rsidP="000A7A28">
      <w:pPr>
        <w:pStyle w:val="Heading1"/>
        <w:numPr>
          <w:ilvl w:val="0"/>
          <w:numId w:val="0"/>
        </w:numPr>
        <w:ind w:left="567" w:hanging="567"/>
      </w:pPr>
      <w:bookmarkStart w:id="32" w:name="_Attachment_B_–_1"/>
      <w:bookmarkStart w:id="33" w:name="_Toc24364805"/>
      <w:bookmarkEnd w:id="32"/>
      <w:r>
        <w:lastRenderedPageBreak/>
        <w:t xml:space="preserve">Attachment </w:t>
      </w:r>
      <w:r w:rsidR="00EB3FF4">
        <w:t>A</w:t>
      </w:r>
      <w:r>
        <w:t xml:space="preserve"> – Action Plan</w:t>
      </w:r>
      <w:bookmarkEnd w:id="33"/>
    </w:p>
    <w:p w14:paraId="729453CD" w14:textId="1D1F3C3D" w:rsidR="000A7A28" w:rsidRDefault="000A7A28" w:rsidP="000A7A28">
      <w:pPr>
        <w:pStyle w:val="Caption"/>
      </w:pPr>
      <w:r>
        <w:t xml:space="preserve">Table </w:t>
      </w:r>
      <w:r>
        <w:fldChar w:fldCharType="begin"/>
      </w:r>
      <w:r>
        <w:instrText xml:space="preserve"> SEQ Table \* ARABIC </w:instrText>
      </w:r>
      <w:r>
        <w:fldChar w:fldCharType="separate"/>
      </w:r>
      <w:r w:rsidR="00185227">
        <w:rPr>
          <w:noProof/>
        </w:rPr>
        <w:t>4</w:t>
      </w:r>
      <w:r>
        <w:fldChar w:fldCharType="end"/>
      </w:r>
      <w:r>
        <w:t>: Tasmanian Mining Industry Workforce Development Action Plan</w:t>
      </w:r>
    </w:p>
    <w:tbl>
      <w:tblPr>
        <w:tblStyle w:val="GridTable4-Accent1"/>
        <w:tblW w:w="5251" w:type="pct"/>
        <w:tblLayout w:type="fixed"/>
        <w:tblLook w:val="04A0" w:firstRow="1" w:lastRow="0" w:firstColumn="1" w:lastColumn="0" w:noHBand="0" w:noVBand="1"/>
      </w:tblPr>
      <w:tblGrid>
        <w:gridCol w:w="2691"/>
        <w:gridCol w:w="567"/>
        <w:gridCol w:w="7379"/>
        <w:gridCol w:w="1559"/>
        <w:gridCol w:w="1275"/>
        <w:gridCol w:w="2117"/>
      </w:tblGrid>
      <w:tr w:rsidR="00183A94" w:rsidRPr="00FC5926" w14:paraId="70105837" w14:textId="77777777" w:rsidTr="00183A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 w:type="pct"/>
          </w:tcPr>
          <w:p w14:paraId="08F71936" w14:textId="59DF9785" w:rsidR="004920BB" w:rsidRPr="00FC5926" w:rsidRDefault="004920BB" w:rsidP="00B56411">
            <w:pPr>
              <w:pStyle w:val="TableHeading"/>
              <w:rPr>
                <w:szCs w:val="20"/>
              </w:rPr>
            </w:pPr>
            <w:r w:rsidRPr="00FC5926">
              <w:rPr>
                <w:szCs w:val="20"/>
              </w:rPr>
              <w:t>Strategy</w:t>
            </w:r>
          </w:p>
        </w:tc>
        <w:tc>
          <w:tcPr>
            <w:tcW w:w="2548" w:type="pct"/>
            <w:gridSpan w:val="2"/>
          </w:tcPr>
          <w:p w14:paraId="0A8EE425" w14:textId="0E743914" w:rsidR="004920BB" w:rsidRPr="00FC5926" w:rsidRDefault="004920BB" w:rsidP="00B56411">
            <w:pPr>
              <w:pStyle w:val="TableHeading"/>
              <w:cnfStyle w:val="100000000000" w:firstRow="1" w:lastRow="0" w:firstColumn="0" w:lastColumn="0" w:oddVBand="0" w:evenVBand="0" w:oddHBand="0" w:evenHBand="0" w:firstRowFirstColumn="0" w:firstRowLastColumn="0" w:lastRowFirstColumn="0" w:lastRowLastColumn="0"/>
              <w:rPr>
                <w:szCs w:val="20"/>
              </w:rPr>
            </w:pPr>
            <w:r w:rsidRPr="00FC5926">
              <w:rPr>
                <w:szCs w:val="20"/>
              </w:rPr>
              <w:t>Action</w:t>
            </w:r>
          </w:p>
        </w:tc>
        <w:tc>
          <w:tcPr>
            <w:tcW w:w="500" w:type="pct"/>
          </w:tcPr>
          <w:p w14:paraId="5BFE20F8" w14:textId="7519A3F8" w:rsidR="004920BB" w:rsidRPr="00FC5926" w:rsidRDefault="004920BB" w:rsidP="00B56411">
            <w:pPr>
              <w:pStyle w:val="TableHeading"/>
              <w:cnfStyle w:val="100000000000" w:firstRow="1" w:lastRow="0" w:firstColumn="0" w:lastColumn="0" w:oddVBand="0" w:evenVBand="0" w:oddHBand="0" w:evenHBand="0" w:firstRowFirstColumn="0" w:firstRowLastColumn="0" w:lastRowFirstColumn="0" w:lastRowLastColumn="0"/>
              <w:rPr>
                <w:szCs w:val="20"/>
              </w:rPr>
            </w:pPr>
            <w:r w:rsidRPr="00FC5926">
              <w:rPr>
                <w:szCs w:val="20"/>
              </w:rPr>
              <w:t>Responsibility</w:t>
            </w:r>
          </w:p>
        </w:tc>
        <w:tc>
          <w:tcPr>
            <w:tcW w:w="409" w:type="pct"/>
          </w:tcPr>
          <w:p w14:paraId="66BE86EA" w14:textId="503B2E5D" w:rsidR="004920BB" w:rsidRPr="00FC5926" w:rsidRDefault="004920BB" w:rsidP="00B56411">
            <w:pPr>
              <w:pStyle w:val="TableHeading"/>
              <w:cnfStyle w:val="100000000000" w:firstRow="1" w:lastRow="0" w:firstColumn="0" w:lastColumn="0" w:oddVBand="0" w:evenVBand="0" w:oddHBand="0" w:evenHBand="0" w:firstRowFirstColumn="0" w:firstRowLastColumn="0" w:lastRowFirstColumn="0" w:lastRowLastColumn="0"/>
              <w:rPr>
                <w:szCs w:val="20"/>
              </w:rPr>
            </w:pPr>
            <w:r w:rsidRPr="00FC5926">
              <w:rPr>
                <w:szCs w:val="20"/>
              </w:rPr>
              <w:t>Priority</w:t>
            </w:r>
          </w:p>
        </w:tc>
        <w:tc>
          <w:tcPr>
            <w:tcW w:w="680" w:type="pct"/>
          </w:tcPr>
          <w:p w14:paraId="2FEB4705" w14:textId="23D2BD8D" w:rsidR="004920BB" w:rsidRPr="00FC5926" w:rsidRDefault="004920BB" w:rsidP="00B56411">
            <w:pPr>
              <w:pStyle w:val="TableHeading"/>
              <w:cnfStyle w:val="100000000000" w:firstRow="1" w:lastRow="0" w:firstColumn="0" w:lastColumn="0" w:oddVBand="0" w:evenVBand="0" w:oddHBand="0" w:evenHBand="0" w:firstRowFirstColumn="0" w:firstRowLastColumn="0" w:lastRowFirstColumn="0" w:lastRowLastColumn="0"/>
              <w:rPr>
                <w:szCs w:val="20"/>
              </w:rPr>
            </w:pPr>
            <w:r w:rsidRPr="00FC5926">
              <w:rPr>
                <w:szCs w:val="20"/>
              </w:rPr>
              <w:t>Measure of Success</w:t>
            </w:r>
          </w:p>
        </w:tc>
      </w:tr>
      <w:tr w:rsidR="001D08EC" w:rsidRPr="00FC5926" w14:paraId="4CB2F2EE" w14:textId="77777777" w:rsidTr="00EE4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7D31"/>
          </w:tcPr>
          <w:p w14:paraId="3E15282C" w14:textId="74F49ACB" w:rsidR="001D08EC" w:rsidRPr="00FC5926" w:rsidRDefault="001D08EC" w:rsidP="00B56411">
            <w:pPr>
              <w:pStyle w:val="TableText"/>
              <w:rPr>
                <w:b w:val="0"/>
                <w:bCs w:val="0"/>
              </w:rPr>
            </w:pPr>
            <w:r w:rsidRPr="00FC5926">
              <w:rPr>
                <w:b w:val="0"/>
                <w:bCs w:val="0"/>
                <w:color w:val="FFFFFF" w:themeColor="background1"/>
              </w:rPr>
              <w:t>Building industry collaboration</w:t>
            </w:r>
          </w:p>
        </w:tc>
      </w:tr>
      <w:tr w:rsidR="00183A94" w:rsidRPr="00FC5926" w14:paraId="4772CFA4" w14:textId="77777777" w:rsidTr="00183A94">
        <w:tc>
          <w:tcPr>
            <w:cnfStyle w:val="001000000000" w:firstRow="0" w:lastRow="0" w:firstColumn="1" w:lastColumn="0" w:oddVBand="0" w:evenVBand="0" w:oddHBand="0" w:evenHBand="0" w:firstRowFirstColumn="0" w:firstRowLastColumn="0" w:lastRowFirstColumn="0" w:lastRowLastColumn="0"/>
            <w:tcW w:w="863" w:type="pct"/>
            <w:vMerge w:val="restart"/>
            <w:shd w:val="clear" w:color="auto" w:fill="D9E2F3" w:themeFill="accent1" w:themeFillTint="33"/>
          </w:tcPr>
          <w:p w14:paraId="081E713A" w14:textId="5ECFE622" w:rsidR="00241CA8" w:rsidRPr="00FC5926" w:rsidRDefault="00241CA8" w:rsidP="00773542">
            <w:pPr>
              <w:pStyle w:val="TableText"/>
              <w:numPr>
                <w:ilvl w:val="0"/>
                <w:numId w:val="11"/>
              </w:numPr>
              <w:ind w:left="306" w:hanging="284"/>
              <w:rPr>
                <w:rFonts w:cs="Arial"/>
                <w:b w:val="0"/>
                <w:bCs w:val="0"/>
              </w:rPr>
            </w:pPr>
            <w:r w:rsidRPr="00FC5926">
              <w:rPr>
                <w:rFonts w:cs="Arial"/>
                <w:b w:val="0"/>
                <w:bCs w:val="0"/>
              </w:rPr>
              <w:t xml:space="preserve">Establish an ongoing Tasmanian mining industry </w:t>
            </w:r>
            <w:r>
              <w:rPr>
                <w:rFonts w:cs="Arial"/>
                <w:b w:val="0"/>
                <w:bCs w:val="0"/>
              </w:rPr>
              <w:t>W</w:t>
            </w:r>
            <w:r w:rsidRPr="00FC5926">
              <w:rPr>
                <w:rFonts w:cs="Arial"/>
                <w:b w:val="0"/>
                <w:bCs w:val="0"/>
              </w:rPr>
              <w:t xml:space="preserve">orkforce </w:t>
            </w:r>
            <w:r>
              <w:rPr>
                <w:rFonts w:cs="Arial"/>
                <w:b w:val="0"/>
                <w:bCs w:val="0"/>
              </w:rPr>
              <w:t>D</w:t>
            </w:r>
            <w:r w:rsidRPr="00FC5926">
              <w:rPr>
                <w:rFonts w:cs="Arial"/>
                <w:b w:val="0"/>
                <w:bCs w:val="0"/>
              </w:rPr>
              <w:t xml:space="preserve">evelopment </w:t>
            </w:r>
            <w:r>
              <w:rPr>
                <w:rFonts w:cs="Arial"/>
                <w:b w:val="0"/>
                <w:bCs w:val="0"/>
              </w:rPr>
              <w:t>G</w:t>
            </w:r>
            <w:r w:rsidRPr="00FC5926">
              <w:rPr>
                <w:rFonts w:cs="Arial"/>
                <w:b w:val="0"/>
                <w:bCs w:val="0"/>
              </w:rPr>
              <w:t xml:space="preserve">roup to progress the strategies </w:t>
            </w:r>
            <w:r w:rsidRPr="001D08EC">
              <w:rPr>
                <w:rFonts w:cstheme="minorBidi"/>
                <w:b w:val="0"/>
                <w:bCs w:val="0"/>
              </w:rPr>
              <w:t>and</w:t>
            </w:r>
            <w:r w:rsidRPr="00FC5926">
              <w:rPr>
                <w:rFonts w:cs="Arial"/>
                <w:b w:val="0"/>
                <w:bCs w:val="0"/>
              </w:rPr>
              <w:t xml:space="preserve"> actions of the workforce development plan and to discuss future workforce issues as they arise</w:t>
            </w:r>
          </w:p>
        </w:tc>
        <w:tc>
          <w:tcPr>
            <w:tcW w:w="182" w:type="pct"/>
            <w:tcBorders>
              <w:right w:val="nil"/>
            </w:tcBorders>
            <w:shd w:val="clear" w:color="auto" w:fill="D9E2F3" w:themeFill="accent1" w:themeFillTint="33"/>
          </w:tcPr>
          <w:p w14:paraId="6BF64F6F" w14:textId="36C8D29A" w:rsidR="00241CA8" w:rsidRDefault="00241CA8" w:rsidP="00241CA8">
            <w:pPr>
              <w:pStyle w:val="TableText"/>
              <w:cnfStyle w:val="000000000000" w:firstRow="0" w:lastRow="0" w:firstColumn="0" w:lastColumn="0" w:oddVBand="0" w:evenVBand="0" w:oddHBand="0" w:evenHBand="0" w:firstRowFirstColumn="0" w:firstRowLastColumn="0" w:lastRowFirstColumn="0" w:lastRowLastColumn="0"/>
            </w:pPr>
            <w:r>
              <w:t>1</w:t>
            </w:r>
          </w:p>
        </w:tc>
        <w:tc>
          <w:tcPr>
            <w:tcW w:w="2367" w:type="pct"/>
            <w:tcBorders>
              <w:left w:val="nil"/>
            </w:tcBorders>
            <w:shd w:val="clear" w:color="auto" w:fill="D9E2F3" w:themeFill="accent1" w:themeFillTint="33"/>
          </w:tcPr>
          <w:p w14:paraId="12EA6C9B" w14:textId="6E502226" w:rsidR="00241CA8" w:rsidRPr="00FC5926" w:rsidRDefault="00241CA8" w:rsidP="00241CA8">
            <w:pPr>
              <w:pStyle w:val="TableText"/>
              <w:cnfStyle w:val="000000000000" w:firstRow="0" w:lastRow="0" w:firstColumn="0" w:lastColumn="0" w:oddVBand="0" w:evenVBand="0" w:oddHBand="0" w:evenHBand="0" w:firstRowFirstColumn="0" w:firstRowLastColumn="0" w:lastRowFirstColumn="0" w:lastRowLastColumn="0"/>
            </w:pPr>
            <w:r>
              <w:t xml:space="preserve">Convene </w:t>
            </w:r>
            <w:r w:rsidRPr="00FC5926">
              <w:t xml:space="preserve">a </w:t>
            </w:r>
            <w:r>
              <w:t>W</w:t>
            </w:r>
            <w:r w:rsidRPr="00FC5926">
              <w:t xml:space="preserve">orkforce </w:t>
            </w:r>
            <w:r>
              <w:t>D</w:t>
            </w:r>
            <w:r w:rsidRPr="00FC5926">
              <w:t xml:space="preserve">evelopment </w:t>
            </w:r>
            <w:r>
              <w:t>G</w:t>
            </w:r>
            <w:r w:rsidRPr="00FC5926">
              <w:t xml:space="preserve">roup, ensuring that its membership includes </w:t>
            </w:r>
            <w:r>
              <w:t xml:space="preserve">representatives from the </w:t>
            </w:r>
            <w:r w:rsidRPr="00FC5926">
              <w:t>core mining compan</w:t>
            </w:r>
            <w:r>
              <w:t>ies</w:t>
            </w:r>
          </w:p>
        </w:tc>
        <w:tc>
          <w:tcPr>
            <w:tcW w:w="500" w:type="pct"/>
            <w:shd w:val="clear" w:color="auto" w:fill="D9E2F3" w:themeFill="accent1" w:themeFillTint="33"/>
          </w:tcPr>
          <w:p w14:paraId="460BC4CA" w14:textId="4BAC3EFB" w:rsidR="00241CA8" w:rsidRPr="00FC5926" w:rsidRDefault="00241CA8" w:rsidP="00241CA8">
            <w:pPr>
              <w:pStyle w:val="TableText"/>
              <w:cnfStyle w:val="000000000000" w:firstRow="0" w:lastRow="0" w:firstColumn="0" w:lastColumn="0" w:oddVBand="0" w:evenVBand="0" w:oddHBand="0" w:evenHBand="0" w:firstRowFirstColumn="0" w:firstRowLastColumn="0" w:lastRowFirstColumn="0" w:lastRowLastColumn="0"/>
            </w:pPr>
            <w:r w:rsidRPr="00FC5926">
              <w:t>Lead – TMEC</w:t>
            </w:r>
          </w:p>
          <w:p w14:paraId="37ABF5EC" w14:textId="6611929A" w:rsidR="00241CA8" w:rsidRPr="00FC5926" w:rsidRDefault="00241CA8" w:rsidP="00241CA8">
            <w:pPr>
              <w:pStyle w:val="TableText"/>
              <w:cnfStyle w:val="000000000000" w:firstRow="0" w:lastRow="0" w:firstColumn="0" w:lastColumn="0" w:oddVBand="0" w:evenVBand="0" w:oddHBand="0" w:evenHBand="0" w:firstRowFirstColumn="0" w:firstRowLastColumn="0" w:lastRowFirstColumn="0" w:lastRowLastColumn="0"/>
            </w:pPr>
            <w:r w:rsidRPr="00FC5926">
              <w:t>Support – Tasmanian mining companies</w:t>
            </w:r>
          </w:p>
        </w:tc>
        <w:tc>
          <w:tcPr>
            <w:tcW w:w="409" w:type="pct"/>
            <w:shd w:val="clear" w:color="auto" w:fill="D9E2F3" w:themeFill="accent1" w:themeFillTint="33"/>
          </w:tcPr>
          <w:p w14:paraId="2D936D39" w14:textId="37B431E5" w:rsidR="00241CA8" w:rsidRPr="004D7F76" w:rsidRDefault="00241CA8" w:rsidP="00241CA8">
            <w:pPr>
              <w:pStyle w:val="TableText"/>
              <w:cnfStyle w:val="000000000000" w:firstRow="0" w:lastRow="0" w:firstColumn="0" w:lastColumn="0" w:oddVBand="0" w:evenVBand="0" w:oddHBand="0" w:evenHBand="0" w:firstRowFirstColumn="0" w:firstRowLastColumn="0" w:lastRowFirstColumn="0" w:lastRowLastColumn="0"/>
              <w:rPr>
                <w:color w:val="000066"/>
              </w:rPr>
            </w:pPr>
            <w:r w:rsidRPr="005F001A">
              <w:rPr>
                <w:color w:val="C00000"/>
              </w:rPr>
              <w:t>Immediate</w:t>
            </w:r>
          </w:p>
        </w:tc>
        <w:tc>
          <w:tcPr>
            <w:tcW w:w="680" w:type="pct"/>
            <w:shd w:val="clear" w:color="auto" w:fill="D9E2F3" w:themeFill="accent1" w:themeFillTint="33"/>
          </w:tcPr>
          <w:p w14:paraId="2A2E25F4" w14:textId="3E4D1109" w:rsidR="00241CA8" w:rsidRPr="00FC5926" w:rsidRDefault="00241CA8" w:rsidP="00241CA8">
            <w:pPr>
              <w:pStyle w:val="TableText"/>
              <w:cnfStyle w:val="000000000000" w:firstRow="0" w:lastRow="0" w:firstColumn="0" w:lastColumn="0" w:oddVBand="0" w:evenVBand="0" w:oddHBand="0" w:evenHBand="0" w:firstRowFirstColumn="0" w:firstRowLastColumn="0" w:lastRowFirstColumn="0" w:lastRowLastColumn="0"/>
            </w:pPr>
            <w:r w:rsidRPr="00FC5926">
              <w:t>The implementation of this Plan is overseen and owned by the Tasmanian mining industry, calling on the expertise of other stakeholders to tackle specific workforce development actions</w:t>
            </w:r>
          </w:p>
        </w:tc>
      </w:tr>
      <w:tr w:rsidR="00183A94" w:rsidRPr="00FC5926" w14:paraId="07FB536C" w14:textId="77777777" w:rsidTr="00183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vMerge/>
          </w:tcPr>
          <w:p w14:paraId="0AAEBB2D" w14:textId="77777777" w:rsidR="00241CA8" w:rsidRPr="00FC5926" w:rsidRDefault="00241CA8" w:rsidP="00241CA8">
            <w:pPr>
              <w:pStyle w:val="TableText"/>
              <w:rPr>
                <w:rFonts w:cs="Arial"/>
                <w:b w:val="0"/>
                <w:bCs w:val="0"/>
              </w:rPr>
            </w:pPr>
          </w:p>
        </w:tc>
        <w:tc>
          <w:tcPr>
            <w:tcW w:w="182" w:type="pct"/>
            <w:tcBorders>
              <w:right w:val="nil"/>
            </w:tcBorders>
          </w:tcPr>
          <w:p w14:paraId="6C4F6C23" w14:textId="4FBC1B8B" w:rsid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t>2</w:t>
            </w:r>
          </w:p>
        </w:tc>
        <w:tc>
          <w:tcPr>
            <w:tcW w:w="2367" w:type="pct"/>
            <w:tcBorders>
              <w:left w:val="nil"/>
            </w:tcBorders>
          </w:tcPr>
          <w:p w14:paraId="3DF45CCC" w14:textId="396048A7"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Seek funding to effectively support the Workforce Development Group</w:t>
            </w:r>
          </w:p>
        </w:tc>
        <w:tc>
          <w:tcPr>
            <w:tcW w:w="500" w:type="pct"/>
          </w:tcPr>
          <w:p w14:paraId="3DCFF8EC" w14:textId="77777777"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Lead – TMEC</w:t>
            </w:r>
          </w:p>
          <w:p w14:paraId="6298CF1B" w14:textId="6E8D4FCC"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Support – Tasmanian mining companies</w:t>
            </w:r>
          </w:p>
        </w:tc>
        <w:tc>
          <w:tcPr>
            <w:tcW w:w="409" w:type="pct"/>
          </w:tcPr>
          <w:p w14:paraId="1B4E2636" w14:textId="3E3B2BB0"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rPr>
                <w:color w:val="000066"/>
              </w:rPr>
            </w:pPr>
            <w:r w:rsidRPr="00241CA8">
              <w:rPr>
                <w:color w:val="C00000"/>
              </w:rPr>
              <w:t>Immediate</w:t>
            </w:r>
          </w:p>
        </w:tc>
        <w:tc>
          <w:tcPr>
            <w:tcW w:w="680" w:type="pct"/>
          </w:tcPr>
          <w:p w14:paraId="201CB292" w14:textId="7F07CC09"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Support roles for the Workforce Development Group are funded and filled</w:t>
            </w:r>
          </w:p>
        </w:tc>
      </w:tr>
      <w:tr w:rsidR="001D08EC" w:rsidRPr="00FC5926" w14:paraId="535C54B9" w14:textId="77777777" w:rsidTr="00EE475E">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B9BD5"/>
          </w:tcPr>
          <w:p w14:paraId="1A94A3CB" w14:textId="63524E55" w:rsidR="001D08EC" w:rsidRPr="00FC5926" w:rsidRDefault="001D08EC" w:rsidP="00B56411">
            <w:pPr>
              <w:pStyle w:val="TableText"/>
              <w:rPr>
                <w:rFonts w:cs="Arial"/>
                <w:b w:val="0"/>
                <w:bCs w:val="0"/>
              </w:rPr>
            </w:pPr>
            <w:r w:rsidRPr="00FC5926">
              <w:rPr>
                <w:rFonts w:cs="Arial"/>
                <w:b w:val="0"/>
                <w:bCs w:val="0"/>
                <w:color w:val="FFFFFF" w:themeColor="background1"/>
              </w:rPr>
              <w:t>Building workforce capacity</w:t>
            </w:r>
          </w:p>
        </w:tc>
      </w:tr>
      <w:tr w:rsidR="00183A94" w:rsidRPr="00FC5926" w14:paraId="3C68118D" w14:textId="77777777" w:rsidTr="00183A9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63" w:type="pct"/>
            <w:vMerge w:val="restart"/>
            <w:shd w:val="clear" w:color="auto" w:fill="auto"/>
          </w:tcPr>
          <w:p w14:paraId="41CFD2E7" w14:textId="0379B4D0" w:rsidR="009C097B" w:rsidRPr="00241CA8" w:rsidRDefault="009C097B" w:rsidP="00773542">
            <w:pPr>
              <w:pStyle w:val="TableText"/>
              <w:numPr>
                <w:ilvl w:val="0"/>
                <w:numId w:val="11"/>
              </w:numPr>
              <w:ind w:left="306" w:hanging="284"/>
              <w:rPr>
                <w:rFonts w:cs="Arial"/>
                <w:b w:val="0"/>
                <w:bCs w:val="0"/>
              </w:rPr>
            </w:pPr>
            <w:r w:rsidRPr="00241CA8">
              <w:rPr>
                <w:rFonts w:cs="Arial"/>
                <w:b w:val="0"/>
                <w:bCs w:val="0"/>
              </w:rPr>
              <w:t>Develop initiatives that will attract workers into the Tasmanian mining industry</w:t>
            </w:r>
          </w:p>
          <w:p w14:paraId="0C76CEDB" w14:textId="306930E6" w:rsidR="009C097B" w:rsidRPr="00FC5926" w:rsidRDefault="009C097B" w:rsidP="00E35E49">
            <w:pPr>
              <w:pStyle w:val="Tablelistbullet"/>
              <w:numPr>
                <w:ilvl w:val="0"/>
                <w:numId w:val="0"/>
              </w:numPr>
            </w:pPr>
          </w:p>
        </w:tc>
        <w:tc>
          <w:tcPr>
            <w:tcW w:w="182" w:type="pct"/>
            <w:tcBorders>
              <w:bottom w:val="single" w:sz="4" w:space="0" w:color="8EAADB" w:themeColor="accent1" w:themeTint="99"/>
              <w:right w:val="nil"/>
            </w:tcBorders>
            <w:shd w:val="clear" w:color="auto" w:fill="auto"/>
          </w:tcPr>
          <w:p w14:paraId="1D87B5AA" w14:textId="4E85B94D" w:rsidR="009C097B" w:rsidRPr="00FC5926" w:rsidRDefault="009C097B" w:rsidP="00C2711E">
            <w:pPr>
              <w:pStyle w:val="TableText"/>
              <w:cnfStyle w:val="000000100000" w:firstRow="0" w:lastRow="0" w:firstColumn="0" w:lastColumn="0" w:oddVBand="0" w:evenVBand="0" w:oddHBand="1" w:evenHBand="0" w:firstRowFirstColumn="0" w:firstRowLastColumn="0" w:lastRowFirstColumn="0" w:lastRowLastColumn="0"/>
            </w:pPr>
            <w:r>
              <w:t>3</w:t>
            </w:r>
          </w:p>
        </w:tc>
        <w:tc>
          <w:tcPr>
            <w:tcW w:w="2367" w:type="pct"/>
            <w:tcBorders>
              <w:left w:val="nil"/>
              <w:bottom w:val="single" w:sz="4" w:space="0" w:color="8EAADB" w:themeColor="accent1" w:themeTint="99"/>
            </w:tcBorders>
            <w:shd w:val="clear" w:color="auto" w:fill="auto"/>
          </w:tcPr>
          <w:p w14:paraId="016A5BAF" w14:textId="2A49C535" w:rsidR="009C097B" w:rsidRPr="00FC5926" w:rsidRDefault="009C097B" w:rsidP="00C2711E">
            <w:pPr>
              <w:pStyle w:val="TableText"/>
              <w:cnfStyle w:val="000000100000" w:firstRow="0" w:lastRow="0" w:firstColumn="0" w:lastColumn="0" w:oddVBand="0" w:evenVBand="0" w:oddHBand="1" w:evenHBand="0" w:firstRowFirstColumn="0" w:firstRowLastColumn="0" w:lastRowFirstColumn="0" w:lastRowLastColumn="0"/>
            </w:pPr>
            <w:r w:rsidRPr="00FC5926">
              <w:t>Develop a career marketing toolkit that can be used to promote a career in the Tasmanian mining industry</w:t>
            </w:r>
            <w:r>
              <w:t xml:space="preserve"> to all students.</w:t>
            </w:r>
          </w:p>
          <w:p w14:paraId="0FC0113F" w14:textId="28123076" w:rsidR="009C097B" w:rsidRPr="00FC5926" w:rsidRDefault="009C097B" w:rsidP="00241CA8">
            <w:pPr>
              <w:pStyle w:val="TableText"/>
              <w:keepLines/>
              <w:cnfStyle w:val="000000100000" w:firstRow="0" w:lastRow="0" w:firstColumn="0" w:lastColumn="0" w:oddVBand="0" w:evenVBand="0" w:oddHBand="1" w:evenHBand="0" w:firstRowFirstColumn="0" w:firstRowLastColumn="0" w:lastRowFirstColumn="0" w:lastRowLastColumn="0"/>
            </w:pPr>
            <w:r>
              <w:t xml:space="preserve">A review of </w:t>
            </w:r>
            <w:r w:rsidRPr="00FC5926">
              <w:t xml:space="preserve">existing career marketing tools already developed </w:t>
            </w:r>
            <w:r>
              <w:t xml:space="preserve">could determine </w:t>
            </w:r>
            <w:r w:rsidRPr="00FC5926">
              <w:t>if they could be used or updated to the Tasmanian context.  Examples of existing marketing include:</w:t>
            </w:r>
          </w:p>
          <w:p w14:paraId="53077E16" w14:textId="3CBC2358" w:rsidR="009C097B"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20" w:history="1">
              <w:r w:rsidR="009C097B" w:rsidRPr="00FC5926">
                <w:rPr>
                  <w:rStyle w:val="Hyperlink"/>
                </w:rPr>
                <w:t>More to Mining Careers Guide</w:t>
              </w:r>
            </w:hyperlink>
          </w:p>
          <w:p w14:paraId="617CF891" w14:textId="18A4C169" w:rsidR="009C097B"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21" w:history="1">
              <w:r w:rsidR="009C097B" w:rsidRPr="00FC5926">
                <w:rPr>
                  <w:rStyle w:val="Hyperlink"/>
                </w:rPr>
                <w:t>Oresome Resources</w:t>
              </w:r>
            </w:hyperlink>
          </w:p>
          <w:p w14:paraId="44EA69A5" w14:textId="039C95D7" w:rsidR="009C097B" w:rsidRPr="00FC5926" w:rsidRDefault="00F9502A" w:rsidP="004F1DD0">
            <w:pPr>
              <w:pStyle w:val="Tablelistbullet"/>
              <w:cnfStyle w:val="000000100000" w:firstRow="0" w:lastRow="0" w:firstColumn="0" w:lastColumn="0" w:oddVBand="0" w:evenVBand="0" w:oddHBand="1" w:evenHBand="0" w:firstRowFirstColumn="0" w:firstRowLastColumn="0" w:lastRowFirstColumn="0" w:lastRowLastColumn="0"/>
            </w:pPr>
            <w:hyperlink r:id="rId22" w:history="1">
              <w:r w:rsidR="009C097B" w:rsidRPr="00FC5926">
                <w:rPr>
                  <w:rStyle w:val="Hyperlink"/>
                </w:rPr>
                <w:t>Get A Mine Job</w:t>
              </w:r>
            </w:hyperlink>
          </w:p>
        </w:tc>
        <w:tc>
          <w:tcPr>
            <w:tcW w:w="500" w:type="pct"/>
            <w:shd w:val="clear" w:color="auto" w:fill="auto"/>
          </w:tcPr>
          <w:p w14:paraId="450F483B" w14:textId="77777777" w:rsidR="009C097B" w:rsidRPr="00FC5926" w:rsidRDefault="009C097B" w:rsidP="00C2711E">
            <w:pPr>
              <w:pStyle w:val="TableText"/>
              <w:cnfStyle w:val="000000100000" w:firstRow="0" w:lastRow="0" w:firstColumn="0" w:lastColumn="0" w:oddVBand="0" w:evenVBand="0" w:oddHBand="1" w:evenHBand="0" w:firstRowFirstColumn="0" w:firstRowLastColumn="0" w:lastRowFirstColumn="0" w:lastRowLastColumn="0"/>
              <w:rPr>
                <w:rFonts w:cs="Arial"/>
                <w:bCs/>
              </w:rPr>
            </w:pPr>
            <w:r w:rsidRPr="00FC5926">
              <w:rPr>
                <w:rFonts w:cs="Arial"/>
              </w:rPr>
              <w:t xml:space="preserve">Lead – TMEC </w:t>
            </w:r>
          </w:p>
          <w:p w14:paraId="427F1A40" w14:textId="7652EA34" w:rsidR="009C097B" w:rsidRPr="00FC5926" w:rsidRDefault="009C097B" w:rsidP="00C2711E">
            <w:pPr>
              <w:pStyle w:val="TableText"/>
              <w:cnfStyle w:val="000000100000" w:firstRow="0" w:lastRow="0" w:firstColumn="0" w:lastColumn="0" w:oddVBand="0" w:evenVBand="0" w:oddHBand="1" w:evenHBand="0" w:firstRowFirstColumn="0" w:firstRowLastColumn="0" w:lastRowFirstColumn="0" w:lastRowLastColumn="0"/>
            </w:pPr>
            <w:r w:rsidRPr="00FC5926">
              <w:rPr>
                <w:rFonts w:cs="Arial"/>
              </w:rPr>
              <w:t>Support – Workforce Development Group</w:t>
            </w:r>
          </w:p>
        </w:tc>
        <w:tc>
          <w:tcPr>
            <w:tcW w:w="409" w:type="pct"/>
            <w:shd w:val="clear" w:color="auto" w:fill="auto"/>
          </w:tcPr>
          <w:p w14:paraId="5AC44321" w14:textId="49601E39" w:rsidR="009C097B" w:rsidRPr="00FC5926" w:rsidRDefault="009C097B" w:rsidP="00C2711E">
            <w:pPr>
              <w:pStyle w:val="TableText"/>
              <w:cnfStyle w:val="000000100000" w:firstRow="0" w:lastRow="0" w:firstColumn="0" w:lastColumn="0" w:oddVBand="0" w:evenVBand="0" w:oddHBand="1" w:evenHBand="0" w:firstRowFirstColumn="0" w:firstRowLastColumn="0" w:lastRowFirstColumn="0" w:lastRowLastColumn="0"/>
            </w:pPr>
            <w:r w:rsidRPr="00FC5926">
              <w:rPr>
                <w:color w:val="C00000"/>
              </w:rPr>
              <w:t>Immediate</w:t>
            </w:r>
          </w:p>
        </w:tc>
        <w:tc>
          <w:tcPr>
            <w:tcW w:w="680" w:type="pct"/>
            <w:shd w:val="clear" w:color="auto" w:fill="auto"/>
          </w:tcPr>
          <w:p w14:paraId="75B50404" w14:textId="2562CFA2" w:rsidR="009C097B" w:rsidRPr="00FC5926" w:rsidRDefault="009C097B" w:rsidP="00C2711E">
            <w:pPr>
              <w:pStyle w:val="TableText"/>
              <w:cnfStyle w:val="000000100000" w:firstRow="0" w:lastRow="0" w:firstColumn="0" w:lastColumn="0" w:oddVBand="0" w:evenVBand="0" w:oddHBand="1" w:evenHBand="0" w:firstRowFirstColumn="0" w:firstRowLastColumn="0" w:lastRowFirstColumn="0" w:lastRowLastColumn="0"/>
            </w:pPr>
            <w:r w:rsidRPr="00FC5926">
              <w:t>All Tasmanian mining companies and industry stakeholders have access to a career marketing toolkit</w:t>
            </w:r>
          </w:p>
        </w:tc>
      </w:tr>
      <w:tr w:rsidR="00183A94" w:rsidRPr="00FC5926" w14:paraId="7187C306" w14:textId="77777777" w:rsidTr="00183A94">
        <w:trPr>
          <w:trHeight w:val="492"/>
        </w:trPr>
        <w:tc>
          <w:tcPr>
            <w:cnfStyle w:val="001000000000" w:firstRow="0" w:lastRow="0" w:firstColumn="1" w:lastColumn="0" w:oddVBand="0" w:evenVBand="0" w:oddHBand="0" w:evenHBand="0" w:firstRowFirstColumn="0" w:firstRowLastColumn="0" w:lastRowFirstColumn="0" w:lastRowLastColumn="0"/>
            <w:tcW w:w="863" w:type="pct"/>
            <w:vMerge/>
            <w:shd w:val="clear" w:color="auto" w:fill="auto"/>
          </w:tcPr>
          <w:p w14:paraId="7F76310D" w14:textId="4C342ACF" w:rsidR="009C097B" w:rsidRPr="00FC5926" w:rsidRDefault="009C097B">
            <w:pPr>
              <w:pStyle w:val="Tablelistbullet"/>
            </w:pPr>
          </w:p>
        </w:tc>
        <w:tc>
          <w:tcPr>
            <w:tcW w:w="182" w:type="pct"/>
            <w:tcBorders>
              <w:bottom w:val="single" w:sz="4" w:space="0" w:color="8EAADB" w:themeColor="accent1" w:themeTint="99"/>
              <w:right w:val="nil"/>
            </w:tcBorders>
            <w:shd w:val="clear" w:color="auto" w:fill="auto"/>
          </w:tcPr>
          <w:p w14:paraId="106E0757" w14:textId="5CD9DAE2" w:rsidR="009C097B" w:rsidRPr="00FC5926" w:rsidRDefault="009C097B" w:rsidP="00C2711E">
            <w:pPr>
              <w:pStyle w:val="TableText"/>
              <w:cnfStyle w:val="000000000000" w:firstRow="0" w:lastRow="0" w:firstColumn="0" w:lastColumn="0" w:oddVBand="0" w:evenVBand="0" w:oddHBand="0" w:evenHBand="0" w:firstRowFirstColumn="0" w:firstRowLastColumn="0" w:lastRowFirstColumn="0" w:lastRowLastColumn="0"/>
            </w:pPr>
            <w:r>
              <w:t>4</w:t>
            </w:r>
          </w:p>
        </w:tc>
        <w:tc>
          <w:tcPr>
            <w:tcW w:w="2367" w:type="pct"/>
            <w:tcBorders>
              <w:left w:val="nil"/>
              <w:bottom w:val="single" w:sz="4" w:space="0" w:color="8EAADB" w:themeColor="accent1" w:themeTint="99"/>
            </w:tcBorders>
            <w:shd w:val="clear" w:color="auto" w:fill="auto"/>
          </w:tcPr>
          <w:p w14:paraId="616A9DB6" w14:textId="2CAEFCE6" w:rsidR="009C097B" w:rsidRPr="00FC5926" w:rsidRDefault="009C097B" w:rsidP="00C2711E">
            <w:pPr>
              <w:pStyle w:val="TableText"/>
              <w:cnfStyle w:val="000000000000" w:firstRow="0" w:lastRow="0" w:firstColumn="0" w:lastColumn="0" w:oddVBand="0" w:evenVBand="0" w:oddHBand="0" w:evenHBand="0" w:firstRowFirstColumn="0" w:firstRowLastColumn="0" w:lastRowFirstColumn="0" w:lastRowLastColumn="0"/>
            </w:pPr>
            <w:r w:rsidRPr="00FC5926">
              <w:t>Investigate opportunities for mining industry to engage with children in schools.</w:t>
            </w:r>
            <w:r>
              <w:t xml:space="preserve">  This will require determining the barriers to attracting interest in the industry, such as the impact of key influencers such as parents, teachers and student perception.</w:t>
            </w:r>
          </w:p>
          <w:p w14:paraId="7444AFF6" w14:textId="292D1187" w:rsidR="009C097B" w:rsidRPr="00FC5926" w:rsidRDefault="009C097B" w:rsidP="00332EE8">
            <w:pPr>
              <w:pStyle w:val="TableText"/>
              <w:cnfStyle w:val="000000000000" w:firstRow="0" w:lastRow="0" w:firstColumn="0" w:lastColumn="0" w:oddVBand="0" w:evenVBand="0" w:oddHBand="0" w:evenHBand="0" w:firstRowFirstColumn="0" w:firstRowLastColumn="0" w:lastRowFirstColumn="0" w:lastRowLastColumn="0"/>
            </w:pPr>
            <w:r w:rsidRPr="00FC5926">
              <w:t xml:space="preserve">Connections between industry and education providers / training organisations could be facilitated through a third party, such as the </w:t>
            </w:r>
            <w:hyperlink r:id="rId23" w:history="1">
              <w:r w:rsidRPr="00FC5926">
                <w:rPr>
                  <w:rStyle w:val="Hyperlink"/>
                </w:rPr>
                <w:t>Beacon Foundation</w:t>
              </w:r>
            </w:hyperlink>
            <w:r w:rsidRPr="00FC5926">
              <w:rPr>
                <w:rStyle w:val="Hyperlink"/>
                <w:color w:val="auto"/>
                <w:u w:val="none"/>
              </w:rPr>
              <w:t>.</w:t>
            </w:r>
          </w:p>
        </w:tc>
        <w:tc>
          <w:tcPr>
            <w:tcW w:w="500" w:type="pct"/>
            <w:shd w:val="clear" w:color="auto" w:fill="auto"/>
          </w:tcPr>
          <w:p w14:paraId="65EFC6DF" w14:textId="77777777" w:rsidR="009C097B" w:rsidRPr="00FC5926" w:rsidRDefault="009C097B" w:rsidP="00C2711E">
            <w:pPr>
              <w:pStyle w:val="TableText"/>
              <w:cnfStyle w:val="000000000000" w:firstRow="0" w:lastRow="0" w:firstColumn="0" w:lastColumn="0" w:oddVBand="0" w:evenVBand="0" w:oddHBand="0" w:evenHBand="0" w:firstRowFirstColumn="0" w:firstRowLastColumn="0" w:lastRowFirstColumn="0" w:lastRowLastColumn="0"/>
              <w:rPr>
                <w:rFonts w:cs="Arial"/>
                <w:bCs/>
              </w:rPr>
            </w:pPr>
            <w:r w:rsidRPr="00FC5926">
              <w:rPr>
                <w:rFonts w:cs="Arial"/>
              </w:rPr>
              <w:t xml:space="preserve">Lead – TMEC </w:t>
            </w:r>
          </w:p>
          <w:p w14:paraId="3950F726" w14:textId="5405BAA6" w:rsidR="009C097B" w:rsidRPr="00FC5926" w:rsidRDefault="009C097B" w:rsidP="00C2711E">
            <w:pPr>
              <w:pStyle w:val="TableText"/>
              <w:cnfStyle w:val="000000000000" w:firstRow="0" w:lastRow="0" w:firstColumn="0" w:lastColumn="0" w:oddVBand="0" w:evenVBand="0" w:oddHBand="0" w:evenHBand="0" w:firstRowFirstColumn="0" w:firstRowLastColumn="0" w:lastRowFirstColumn="0" w:lastRowLastColumn="0"/>
            </w:pPr>
            <w:r w:rsidRPr="00FC5926">
              <w:rPr>
                <w:rFonts w:cs="Arial"/>
              </w:rPr>
              <w:t>Support – Department of Education / Private schools</w:t>
            </w:r>
          </w:p>
        </w:tc>
        <w:tc>
          <w:tcPr>
            <w:tcW w:w="409" w:type="pct"/>
            <w:shd w:val="clear" w:color="auto" w:fill="auto"/>
          </w:tcPr>
          <w:p w14:paraId="3F098603" w14:textId="15147ABF" w:rsidR="009C097B" w:rsidRPr="00FC5926" w:rsidRDefault="009C097B" w:rsidP="00C2711E">
            <w:pPr>
              <w:pStyle w:val="TableText"/>
              <w:cnfStyle w:val="000000000000" w:firstRow="0" w:lastRow="0" w:firstColumn="0" w:lastColumn="0" w:oddVBand="0" w:evenVBand="0" w:oddHBand="0" w:evenHBand="0" w:firstRowFirstColumn="0" w:firstRowLastColumn="0" w:lastRowFirstColumn="0" w:lastRowLastColumn="0"/>
            </w:pPr>
            <w:r w:rsidRPr="00FC5926">
              <w:rPr>
                <w:color w:val="C00000"/>
              </w:rPr>
              <w:t>Immediate</w:t>
            </w:r>
          </w:p>
        </w:tc>
        <w:tc>
          <w:tcPr>
            <w:tcW w:w="680" w:type="pct"/>
            <w:shd w:val="clear" w:color="auto" w:fill="auto"/>
          </w:tcPr>
          <w:p w14:paraId="52D93309" w14:textId="5028D381" w:rsidR="009C097B" w:rsidRPr="00FC5926" w:rsidRDefault="009C097B" w:rsidP="00E047C3">
            <w:pPr>
              <w:pStyle w:val="TableText"/>
              <w:cnfStyle w:val="000000000000" w:firstRow="0" w:lastRow="0" w:firstColumn="0" w:lastColumn="0" w:oddVBand="0" w:evenVBand="0" w:oddHBand="0" w:evenHBand="0" w:firstRowFirstColumn="0" w:firstRowLastColumn="0" w:lastRowFirstColumn="0" w:lastRowLastColumn="0"/>
            </w:pPr>
            <w:r w:rsidRPr="00FC5926">
              <w:t>School children are exposed to the mining industry, by either mining site visits or industry representatives visiting schools</w:t>
            </w:r>
          </w:p>
        </w:tc>
      </w:tr>
      <w:tr w:rsidR="00183A94" w:rsidRPr="00FC5926" w14:paraId="5AE0933A" w14:textId="77777777" w:rsidTr="00183A9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63" w:type="pct"/>
            <w:vMerge/>
            <w:shd w:val="clear" w:color="auto" w:fill="auto"/>
          </w:tcPr>
          <w:p w14:paraId="53FE8FBD" w14:textId="77777777" w:rsidR="00241CA8" w:rsidRPr="00FC5926" w:rsidRDefault="00241CA8" w:rsidP="00241CA8">
            <w:pPr>
              <w:pStyle w:val="Tablelistbullet"/>
            </w:pPr>
          </w:p>
        </w:tc>
        <w:tc>
          <w:tcPr>
            <w:tcW w:w="182" w:type="pct"/>
            <w:tcBorders>
              <w:bottom w:val="single" w:sz="4" w:space="0" w:color="8EAADB" w:themeColor="accent1" w:themeTint="99"/>
              <w:right w:val="nil"/>
            </w:tcBorders>
            <w:shd w:val="clear" w:color="auto" w:fill="auto"/>
          </w:tcPr>
          <w:p w14:paraId="67DD154F" w14:textId="7DE1CA59" w:rsid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t>5</w:t>
            </w:r>
          </w:p>
        </w:tc>
        <w:tc>
          <w:tcPr>
            <w:tcW w:w="2367" w:type="pct"/>
            <w:tcBorders>
              <w:left w:val="nil"/>
              <w:bottom w:val="single" w:sz="4" w:space="0" w:color="8EAADB" w:themeColor="accent1" w:themeTint="99"/>
            </w:tcBorders>
            <w:shd w:val="clear" w:color="auto" w:fill="auto"/>
          </w:tcPr>
          <w:p w14:paraId="1D18C6B7" w14:textId="7EBA629D"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 xml:space="preserve">Support existing and develop new initiatives </w:t>
            </w:r>
            <w:r w:rsidR="00F9502A">
              <w:t>that</w:t>
            </w:r>
            <w:r w:rsidRPr="00241CA8">
              <w:t xml:space="preserve"> </w:t>
            </w:r>
            <w:r w:rsidRPr="00241CA8" w:rsidDel="0035655D">
              <w:t xml:space="preserve">focus on </w:t>
            </w:r>
            <w:r w:rsidRPr="00241CA8">
              <w:t>attract</w:t>
            </w:r>
            <w:r w:rsidRPr="00241CA8" w:rsidDel="0035655D">
              <w:t>ing</w:t>
            </w:r>
            <w:r w:rsidRPr="00241CA8">
              <w:t xml:space="preserve"> more women to the mining workforce.  This should include:</w:t>
            </w:r>
          </w:p>
          <w:p w14:paraId="5A8C23D5" w14:textId="77777777" w:rsidR="00241CA8" w:rsidRPr="00241CA8" w:rsidRDefault="00241CA8" w:rsidP="00241CA8">
            <w:pPr>
              <w:pStyle w:val="Tablelistbullet"/>
              <w:cnfStyle w:val="000000100000" w:firstRow="0" w:lastRow="0" w:firstColumn="0" w:lastColumn="0" w:oddVBand="0" w:evenVBand="0" w:oddHBand="1" w:evenHBand="0" w:firstRowFirstColumn="0" w:firstRowLastColumn="0" w:lastRowFirstColumn="0" w:lastRowLastColumn="0"/>
            </w:pPr>
            <w:r w:rsidRPr="00241CA8">
              <w:t xml:space="preserve">Engaging with existing initiatives, such as </w:t>
            </w:r>
            <w:hyperlink r:id="rId24" w:history="1">
              <w:r w:rsidRPr="00241CA8">
                <w:rPr>
                  <w:rStyle w:val="Hyperlink"/>
                </w:rPr>
                <w:t>AusIMM Women in Mining (WIMnet</w:t>
              </w:r>
              <w:bookmarkStart w:id="34" w:name="_GoBack"/>
              <w:bookmarkEnd w:id="34"/>
              <w:r w:rsidRPr="00241CA8">
                <w:rPr>
                  <w:rStyle w:val="Hyperlink"/>
                </w:rPr>
                <w:t>) Tasmania</w:t>
              </w:r>
            </w:hyperlink>
            <w:r w:rsidRPr="00241CA8">
              <w:t xml:space="preserve"> and </w:t>
            </w:r>
            <w:hyperlink r:id="rId25" w:history="1">
              <w:r w:rsidRPr="00241CA8">
                <w:rPr>
                  <w:rStyle w:val="Hyperlink"/>
                </w:rPr>
                <w:t>Women in Resources Awards 2019</w:t>
              </w:r>
            </w:hyperlink>
          </w:p>
          <w:p w14:paraId="278754C3" w14:textId="4D479BE9" w:rsidR="00241CA8" w:rsidRPr="00241CA8" w:rsidRDefault="00241CA8" w:rsidP="00241CA8">
            <w:pPr>
              <w:pStyle w:val="Tablelistbullet"/>
              <w:cnfStyle w:val="000000100000" w:firstRow="0" w:lastRow="0" w:firstColumn="0" w:lastColumn="0" w:oddVBand="0" w:evenVBand="0" w:oddHBand="1" w:evenHBand="0" w:firstRowFirstColumn="0" w:firstRowLastColumn="0" w:lastRowFirstColumn="0" w:lastRowLastColumn="0"/>
            </w:pPr>
            <w:r w:rsidRPr="00241CA8">
              <w:t>Investigation of barriers for recruiting and retaining women in the mining industry as a first step to developing an industry plan for increasing the percentage of women in the workforce</w:t>
            </w:r>
          </w:p>
        </w:tc>
        <w:tc>
          <w:tcPr>
            <w:tcW w:w="500" w:type="pct"/>
            <w:shd w:val="clear" w:color="auto" w:fill="auto"/>
          </w:tcPr>
          <w:p w14:paraId="4F352B4F" w14:textId="77777777"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Lead – Workforce Development Group</w:t>
            </w:r>
          </w:p>
          <w:p w14:paraId="0DCB873F" w14:textId="45CB6498"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rPr>
                <w:rFonts w:cs="Arial"/>
              </w:rPr>
            </w:pPr>
            <w:r w:rsidRPr="00241CA8">
              <w:t>Support – TMEC</w:t>
            </w:r>
          </w:p>
        </w:tc>
        <w:tc>
          <w:tcPr>
            <w:tcW w:w="409" w:type="pct"/>
            <w:shd w:val="clear" w:color="auto" w:fill="auto"/>
          </w:tcPr>
          <w:p w14:paraId="54103D86" w14:textId="26DEEE77"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rPr>
                <w:color w:val="C00000"/>
              </w:rPr>
            </w:pPr>
            <w:r w:rsidRPr="00241CA8">
              <w:rPr>
                <w:color w:val="C00000"/>
              </w:rPr>
              <w:t>Immediate</w:t>
            </w:r>
          </w:p>
        </w:tc>
        <w:tc>
          <w:tcPr>
            <w:tcW w:w="680" w:type="pct"/>
            <w:shd w:val="clear" w:color="auto" w:fill="auto"/>
          </w:tcPr>
          <w:p w14:paraId="0E151C05" w14:textId="516F1D80"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Improved engagement of women in the mining workforce</w:t>
            </w:r>
          </w:p>
        </w:tc>
      </w:tr>
      <w:tr w:rsidR="00183A94" w:rsidRPr="00FC5926" w14:paraId="3D3A3A30" w14:textId="77777777" w:rsidTr="00183A94">
        <w:trPr>
          <w:trHeight w:val="58"/>
        </w:trPr>
        <w:tc>
          <w:tcPr>
            <w:cnfStyle w:val="001000000000" w:firstRow="0" w:lastRow="0" w:firstColumn="1" w:lastColumn="0" w:oddVBand="0" w:evenVBand="0" w:oddHBand="0" w:evenHBand="0" w:firstRowFirstColumn="0" w:firstRowLastColumn="0" w:lastRowFirstColumn="0" w:lastRowLastColumn="0"/>
            <w:tcW w:w="863" w:type="pct"/>
            <w:vMerge/>
            <w:shd w:val="clear" w:color="auto" w:fill="D9E2F3" w:themeFill="accent1" w:themeFillTint="33"/>
          </w:tcPr>
          <w:p w14:paraId="6CB5222A" w14:textId="230BB9D5" w:rsidR="009C097B" w:rsidRPr="00FC5926" w:rsidRDefault="009C097B" w:rsidP="0062569C">
            <w:pPr>
              <w:pStyle w:val="Tablelistbullet"/>
              <w:numPr>
                <w:ilvl w:val="0"/>
                <w:numId w:val="0"/>
              </w:numPr>
              <w:ind w:left="360"/>
            </w:pPr>
          </w:p>
        </w:tc>
        <w:tc>
          <w:tcPr>
            <w:tcW w:w="182" w:type="pct"/>
            <w:tcBorders>
              <w:bottom w:val="single" w:sz="4" w:space="0" w:color="8EAADB" w:themeColor="accent1" w:themeTint="99"/>
              <w:right w:val="nil"/>
            </w:tcBorders>
            <w:shd w:val="clear" w:color="auto" w:fill="auto"/>
          </w:tcPr>
          <w:p w14:paraId="1FCCA1E4" w14:textId="4946CE6F" w:rsidR="009C097B" w:rsidRDefault="009C097B" w:rsidP="00B56411">
            <w:pPr>
              <w:pStyle w:val="TableText"/>
              <w:cnfStyle w:val="000000000000" w:firstRow="0" w:lastRow="0" w:firstColumn="0" w:lastColumn="0" w:oddVBand="0" w:evenVBand="0" w:oddHBand="0" w:evenHBand="0" w:firstRowFirstColumn="0" w:firstRowLastColumn="0" w:lastRowFirstColumn="0" w:lastRowLastColumn="0"/>
            </w:pPr>
            <w:r>
              <w:t>6</w:t>
            </w:r>
          </w:p>
        </w:tc>
        <w:tc>
          <w:tcPr>
            <w:tcW w:w="2367" w:type="pct"/>
            <w:tcBorders>
              <w:left w:val="nil"/>
              <w:bottom w:val="single" w:sz="4" w:space="0" w:color="8EAADB" w:themeColor="accent1" w:themeTint="99"/>
            </w:tcBorders>
            <w:shd w:val="clear" w:color="auto" w:fill="auto"/>
          </w:tcPr>
          <w:p w14:paraId="281F7D6A" w14:textId="243BE590" w:rsidR="009C097B" w:rsidRPr="00241CA8" w:rsidRDefault="009C097B" w:rsidP="00B56411">
            <w:pPr>
              <w:pStyle w:val="TableText"/>
              <w:cnfStyle w:val="000000000000" w:firstRow="0" w:lastRow="0" w:firstColumn="0" w:lastColumn="0" w:oddVBand="0" w:evenVBand="0" w:oddHBand="0" w:evenHBand="0" w:firstRowFirstColumn="0" w:firstRowLastColumn="0" w:lastRowFirstColumn="0" w:lastRowLastColumn="0"/>
            </w:pPr>
            <w:r>
              <w:t>Investigate options to get involved with re</w:t>
            </w:r>
            <w:r w:rsidRPr="00FC5926">
              <w:t>gional marketing campaign</w:t>
            </w:r>
            <w:r w:rsidR="00DF4346">
              <w:t>s</w:t>
            </w:r>
            <w:r w:rsidRPr="00FC5926">
              <w:t xml:space="preserve"> </w:t>
            </w:r>
            <w:r>
              <w:t xml:space="preserve">for </w:t>
            </w:r>
            <w:r w:rsidRPr="00FC5926">
              <w:t>build</w:t>
            </w:r>
            <w:r>
              <w:t>ing</w:t>
            </w:r>
            <w:r w:rsidRPr="00FC5926">
              <w:t xml:space="preserve"> the attractiveness of</w:t>
            </w:r>
            <w:r>
              <w:t xml:space="preserve"> the North-West </w:t>
            </w:r>
            <w:r w:rsidR="00DF4346">
              <w:t>/</w:t>
            </w:r>
            <w:r>
              <w:t xml:space="preserve"> West Coast as a </w:t>
            </w:r>
            <w:r w:rsidRPr="00241CA8">
              <w:t>place to live.  This should:</w:t>
            </w:r>
          </w:p>
          <w:p w14:paraId="1AD24CC1" w14:textId="10E1AF6B" w:rsidR="009C097B" w:rsidRPr="00241CA8" w:rsidRDefault="00241CA8" w:rsidP="00C53E1B">
            <w:pPr>
              <w:pStyle w:val="Tablelistbullet"/>
              <w:cnfStyle w:val="000000000000" w:firstRow="0" w:lastRow="0" w:firstColumn="0" w:lastColumn="0" w:oddVBand="0" w:evenVBand="0" w:oddHBand="0" w:evenHBand="0" w:firstRowFirstColumn="0" w:firstRowLastColumn="0" w:lastRowFirstColumn="0" w:lastRowLastColumn="0"/>
            </w:pPr>
            <w:r w:rsidRPr="00241CA8">
              <w:t>Seek opportunities to collaborate with other impacted organisations</w:t>
            </w:r>
            <w:r w:rsidR="00183A94">
              <w:t>, for example, l</w:t>
            </w:r>
            <w:r w:rsidRPr="00241CA8">
              <w:t>ocal councils</w:t>
            </w:r>
            <w:r w:rsidR="00183A94">
              <w:t xml:space="preserve">, </w:t>
            </w:r>
            <w:r w:rsidRPr="00241CA8">
              <w:t>Cradle Coast Authority</w:t>
            </w:r>
            <w:r w:rsidR="00183A94">
              <w:t xml:space="preserve">, </w:t>
            </w:r>
            <w:r w:rsidRPr="00241CA8">
              <w:t>Brand Tasmania</w:t>
            </w:r>
            <w:r w:rsidR="00183A94">
              <w:t>, o</w:t>
            </w:r>
            <w:r w:rsidRPr="00241CA8">
              <w:t>ther industries facing similar challenges (e.g. civil construction, tourism)</w:t>
            </w:r>
          </w:p>
          <w:p w14:paraId="38EDD61A" w14:textId="320DD182" w:rsidR="009C097B" w:rsidRPr="00FC5926" w:rsidRDefault="009C097B" w:rsidP="00E35E49">
            <w:pPr>
              <w:pStyle w:val="Tablelistbullet"/>
              <w:cnfStyle w:val="000000000000" w:firstRow="0" w:lastRow="0" w:firstColumn="0" w:lastColumn="0" w:oddVBand="0" w:evenVBand="0" w:oddHBand="0" w:evenHBand="0" w:firstRowFirstColumn="0" w:firstRowLastColumn="0" w:lastRowFirstColumn="0" w:lastRowLastColumn="0"/>
            </w:pPr>
            <w:r w:rsidRPr="00241CA8">
              <w:t>Identify opportunities to support and increase availability of services (e.g. medical, educational, retail etc…) in towns near mining sites to improve the suitability of</w:t>
            </w:r>
            <w:r w:rsidRPr="00FC5926">
              <w:t xml:space="preserve"> these locations for the families / partners of mining workers</w:t>
            </w:r>
          </w:p>
          <w:p w14:paraId="173B835B" w14:textId="52D671CE" w:rsidR="009C097B" w:rsidRPr="00FC5926" w:rsidRDefault="009C097B"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Investigate</w:t>
            </w:r>
            <w:r>
              <w:t xml:space="preserve"> participation in and / or support for</w:t>
            </w:r>
            <w:r w:rsidRPr="00FC5926">
              <w:t xml:space="preserve"> existing regional marketing programs such as</w:t>
            </w:r>
          </w:p>
          <w:p w14:paraId="612B00B7" w14:textId="41063944" w:rsidR="009C097B" w:rsidRPr="00FC5926" w:rsidRDefault="00F9502A" w:rsidP="00C02362">
            <w:pPr>
              <w:pStyle w:val="TableListBullet2"/>
              <w:cnfStyle w:val="000000000000" w:firstRow="0" w:lastRow="0" w:firstColumn="0" w:lastColumn="0" w:oddVBand="0" w:evenVBand="0" w:oddHBand="0" w:evenHBand="0" w:firstRowFirstColumn="0" w:firstRowLastColumn="0" w:lastRowFirstColumn="0" w:lastRowLastColumn="0"/>
            </w:pPr>
            <w:hyperlink r:id="rId26" w:history="1">
              <w:r w:rsidR="009C097B" w:rsidRPr="00FC5926">
                <w:rPr>
                  <w:rStyle w:val="Hyperlink"/>
                </w:rPr>
                <w:t>Discover Tasmania</w:t>
              </w:r>
            </w:hyperlink>
          </w:p>
          <w:p w14:paraId="49C75155" w14:textId="26CFBBA6" w:rsidR="009C097B" w:rsidRPr="00FC5926" w:rsidRDefault="00F9502A" w:rsidP="00C02362">
            <w:pPr>
              <w:pStyle w:val="TableListBullet2"/>
              <w:cnfStyle w:val="000000000000" w:firstRow="0" w:lastRow="0" w:firstColumn="0" w:lastColumn="0" w:oddVBand="0" w:evenVBand="0" w:oddHBand="0" w:evenHBand="0" w:firstRowFirstColumn="0" w:firstRowLastColumn="0" w:lastRowFirstColumn="0" w:lastRowLastColumn="0"/>
            </w:pPr>
            <w:hyperlink r:id="rId27" w:history="1">
              <w:r w:rsidR="009C097B" w:rsidRPr="00FC5926">
                <w:rPr>
                  <w:rStyle w:val="Hyperlink"/>
                </w:rPr>
                <w:t>Western Wilds</w:t>
              </w:r>
            </w:hyperlink>
          </w:p>
          <w:p w14:paraId="7BEC89BC" w14:textId="0A5E8FE5" w:rsidR="009C097B" w:rsidRPr="00FC5926" w:rsidRDefault="00F9502A" w:rsidP="00C02362">
            <w:pPr>
              <w:pStyle w:val="TableListBullet2"/>
              <w:cnfStyle w:val="000000000000" w:firstRow="0" w:lastRow="0" w:firstColumn="0" w:lastColumn="0" w:oddVBand="0" w:evenVBand="0" w:oddHBand="0" w:evenHBand="0" w:firstRowFirstColumn="0" w:firstRowLastColumn="0" w:lastRowFirstColumn="0" w:lastRowLastColumn="0"/>
            </w:pPr>
            <w:hyperlink r:id="rId28" w:history="1">
              <w:r w:rsidR="009C097B" w:rsidRPr="00FC5926">
                <w:rPr>
                  <w:rStyle w:val="Hyperlink"/>
                </w:rPr>
                <w:t>Make it Tasmania</w:t>
              </w:r>
            </w:hyperlink>
          </w:p>
        </w:tc>
        <w:tc>
          <w:tcPr>
            <w:tcW w:w="500" w:type="pct"/>
            <w:shd w:val="clear" w:color="auto" w:fill="auto"/>
          </w:tcPr>
          <w:p w14:paraId="254C5431" w14:textId="77777777" w:rsidR="009C097B" w:rsidRPr="00FC5926" w:rsidRDefault="009C097B" w:rsidP="00C2711E">
            <w:pPr>
              <w:pStyle w:val="TableText"/>
              <w:cnfStyle w:val="000000000000" w:firstRow="0" w:lastRow="0" w:firstColumn="0" w:lastColumn="0" w:oddVBand="0" w:evenVBand="0" w:oddHBand="0" w:evenHBand="0" w:firstRowFirstColumn="0" w:firstRowLastColumn="0" w:lastRowFirstColumn="0" w:lastRowLastColumn="0"/>
            </w:pPr>
            <w:r w:rsidRPr="00FC5926">
              <w:t>Lead – Workforce Development Group</w:t>
            </w:r>
          </w:p>
          <w:p w14:paraId="40180922" w14:textId="3C0170CC" w:rsidR="009C097B" w:rsidRPr="00FC5926" w:rsidRDefault="009C097B" w:rsidP="00C2711E">
            <w:pPr>
              <w:pStyle w:val="TableText"/>
              <w:cnfStyle w:val="000000000000" w:firstRow="0" w:lastRow="0" w:firstColumn="0" w:lastColumn="0" w:oddVBand="0" w:evenVBand="0" w:oddHBand="0" w:evenHBand="0" w:firstRowFirstColumn="0" w:firstRowLastColumn="0" w:lastRowFirstColumn="0" w:lastRowLastColumn="0"/>
            </w:pPr>
            <w:r w:rsidRPr="00FC5926">
              <w:t>Support – TMEC</w:t>
            </w:r>
          </w:p>
        </w:tc>
        <w:tc>
          <w:tcPr>
            <w:tcW w:w="409" w:type="pct"/>
            <w:shd w:val="clear" w:color="auto" w:fill="auto"/>
          </w:tcPr>
          <w:p w14:paraId="660EECA7" w14:textId="4FAFFF5B" w:rsidR="009C097B" w:rsidRPr="00FC5926" w:rsidRDefault="009C097B" w:rsidP="00B56411">
            <w:pPr>
              <w:pStyle w:val="TableText"/>
              <w:cnfStyle w:val="000000000000" w:firstRow="0" w:lastRow="0" w:firstColumn="0" w:lastColumn="0" w:oddVBand="0" w:evenVBand="0" w:oddHBand="0" w:evenHBand="0" w:firstRowFirstColumn="0" w:firstRowLastColumn="0" w:lastRowFirstColumn="0" w:lastRowLastColumn="0"/>
            </w:pPr>
            <w:r w:rsidRPr="00FC5926">
              <w:rPr>
                <w:color w:val="C00000"/>
              </w:rPr>
              <w:t>Immediate</w:t>
            </w:r>
          </w:p>
        </w:tc>
        <w:tc>
          <w:tcPr>
            <w:tcW w:w="680" w:type="pct"/>
            <w:shd w:val="clear" w:color="auto" w:fill="auto"/>
          </w:tcPr>
          <w:p w14:paraId="6960AF84" w14:textId="5B2FDBFD" w:rsidR="009C097B" w:rsidRPr="00FC5926" w:rsidRDefault="009C097B" w:rsidP="00B56411">
            <w:pPr>
              <w:pStyle w:val="TableText"/>
              <w:cnfStyle w:val="000000000000" w:firstRow="0" w:lastRow="0" w:firstColumn="0" w:lastColumn="0" w:oddVBand="0" w:evenVBand="0" w:oddHBand="0" w:evenHBand="0" w:firstRowFirstColumn="0" w:firstRowLastColumn="0" w:lastRowFirstColumn="0" w:lastRowLastColumn="0"/>
            </w:pPr>
            <w:r w:rsidRPr="00FC5926">
              <w:t>The</w:t>
            </w:r>
            <w:r>
              <w:t xml:space="preserve"> North-West and West Coast</w:t>
            </w:r>
            <w:r w:rsidRPr="00FC5926">
              <w:t xml:space="preserve"> regions are promoted as desirable areas to live</w:t>
            </w:r>
          </w:p>
        </w:tc>
      </w:tr>
      <w:tr w:rsidR="00183A94" w:rsidRPr="00FC5926" w14:paraId="400281AC" w14:textId="77777777" w:rsidTr="00183A94">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863" w:type="pct"/>
            <w:vMerge/>
          </w:tcPr>
          <w:p w14:paraId="09DCB52B" w14:textId="77777777" w:rsidR="009C097B" w:rsidRPr="00FC5926" w:rsidRDefault="009C097B" w:rsidP="009C097B">
            <w:pPr>
              <w:pStyle w:val="TableText"/>
              <w:rPr>
                <w:rFonts w:cs="Arial"/>
              </w:rPr>
            </w:pPr>
          </w:p>
        </w:tc>
        <w:tc>
          <w:tcPr>
            <w:tcW w:w="182" w:type="pct"/>
            <w:tcBorders>
              <w:bottom w:val="single" w:sz="4" w:space="0" w:color="8EAADB" w:themeColor="accent1" w:themeTint="99"/>
              <w:right w:val="nil"/>
            </w:tcBorders>
            <w:shd w:val="clear" w:color="auto" w:fill="auto"/>
          </w:tcPr>
          <w:p w14:paraId="731EF6E1" w14:textId="3C6A589C" w:rsidR="009C097B" w:rsidRDefault="009C097B" w:rsidP="00B56411">
            <w:pPr>
              <w:pStyle w:val="TableText"/>
              <w:cnfStyle w:val="000000100000" w:firstRow="0" w:lastRow="0" w:firstColumn="0" w:lastColumn="0" w:oddVBand="0" w:evenVBand="0" w:oddHBand="1" w:evenHBand="0" w:firstRowFirstColumn="0" w:firstRowLastColumn="0" w:lastRowFirstColumn="0" w:lastRowLastColumn="0"/>
            </w:pPr>
            <w:r>
              <w:t>7</w:t>
            </w:r>
          </w:p>
        </w:tc>
        <w:tc>
          <w:tcPr>
            <w:tcW w:w="2367" w:type="pct"/>
            <w:tcBorders>
              <w:left w:val="nil"/>
              <w:bottom w:val="single" w:sz="4" w:space="0" w:color="8EAADB" w:themeColor="accent1" w:themeTint="99"/>
            </w:tcBorders>
            <w:shd w:val="clear" w:color="auto" w:fill="auto"/>
          </w:tcPr>
          <w:p w14:paraId="05F201CA" w14:textId="31EF4456" w:rsidR="009C097B" w:rsidRDefault="009C097B" w:rsidP="00B56411">
            <w:pPr>
              <w:pStyle w:val="TableText"/>
              <w:cnfStyle w:val="000000100000" w:firstRow="0" w:lastRow="0" w:firstColumn="0" w:lastColumn="0" w:oddVBand="0" w:evenVBand="0" w:oddHBand="1" w:evenHBand="0" w:firstRowFirstColumn="0" w:firstRowLastColumn="0" w:lastRowFirstColumn="0" w:lastRowLastColumn="0"/>
            </w:pPr>
            <w:r>
              <w:t xml:space="preserve">Investigate opportunities for partners </w:t>
            </w:r>
            <w:r w:rsidR="00954E16">
              <w:t xml:space="preserve">of mine workers </w:t>
            </w:r>
            <w:r>
              <w:t>to become a part of the mining workforce and the barriers that need to be overcome.  This includes opportunities and barriers for partners of the current mining workforce.</w:t>
            </w:r>
          </w:p>
        </w:tc>
        <w:tc>
          <w:tcPr>
            <w:tcW w:w="500" w:type="pct"/>
            <w:shd w:val="clear" w:color="auto" w:fill="auto"/>
          </w:tcPr>
          <w:p w14:paraId="7FA1962D" w14:textId="77777777" w:rsidR="009C097B" w:rsidRPr="00FC5926" w:rsidRDefault="009C097B" w:rsidP="001150E2">
            <w:pPr>
              <w:pStyle w:val="TableText"/>
              <w:cnfStyle w:val="000000100000" w:firstRow="0" w:lastRow="0" w:firstColumn="0" w:lastColumn="0" w:oddVBand="0" w:evenVBand="0" w:oddHBand="1" w:evenHBand="0" w:firstRowFirstColumn="0" w:firstRowLastColumn="0" w:lastRowFirstColumn="0" w:lastRowLastColumn="0"/>
            </w:pPr>
            <w:r w:rsidRPr="00FC5926">
              <w:t>Lead – Workforce Development Group</w:t>
            </w:r>
          </w:p>
          <w:p w14:paraId="303B532A" w14:textId="750B3F2B" w:rsidR="009C097B" w:rsidRPr="00FC5926" w:rsidRDefault="009C097B" w:rsidP="001150E2">
            <w:pPr>
              <w:pStyle w:val="TableText"/>
              <w:cnfStyle w:val="000000100000" w:firstRow="0" w:lastRow="0" w:firstColumn="0" w:lastColumn="0" w:oddVBand="0" w:evenVBand="0" w:oddHBand="1" w:evenHBand="0" w:firstRowFirstColumn="0" w:firstRowLastColumn="0" w:lastRowFirstColumn="0" w:lastRowLastColumn="0"/>
            </w:pPr>
            <w:r w:rsidRPr="00FC5926">
              <w:t>Support – TMEC</w:t>
            </w:r>
          </w:p>
        </w:tc>
        <w:tc>
          <w:tcPr>
            <w:tcW w:w="409" w:type="pct"/>
            <w:shd w:val="clear" w:color="auto" w:fill="auto"/>
          </w:tcPr>
          <w:p w14:paraId="6EF22F3F" w14:textId="3AE93D1A" w:rsidR="009C097B" w:rsidRPr="00FC5926" w:rsidRDefault="009C097B" w:rsidP="00B56411">
            <w:pPr>
              <w:pStyle w:val="TableText"/>
              <w:cnfStyle w:val="000000100000" w:firstRow="0" w:lastRow="0" w:firstColumn="0" w:lastColumn="0" w:oddVBand="0" w:evenVBand="0" w:oddHBand="1" w:evenHBand="0" w:firstRowFirstColumn="0" w:firstRowLastColumn="0" w:lastRowFirstColumn="0" w:lastRowLastColumn="0"/>
              <w:rPr>
                <w:color w:val="C00000"/>
              </w:rPr>
            </w:pPr>
            <w:r w:rsidRPr="00FC5926">
              <w:rPr>
                <w:color w:val="C00000"/>
              </w:rPr>
              <w:t>Immediate</w:t>
            </w:r>
          </w:p>
        </w:tc>
        <w:tc>
          <w:tcPr>
            <w:tcW w:w="680" w:type="pct"/>
            <w:shd w:val="clear" w:color="auto" w:fill="auto"/>
          </w:tcPr>
          <w:p w14:paraId="5C0B7E8B" w14:textId="4CFDAA76" w:rsidR="009C097B" w:rsidRPr="00FC5926" w:rsidRDefault="009C097B" w:rsidP="00B56411">
            <w:pPr>
              <w:pStyle w:val="TableText"/>
              <w:cnfStyle w:val="000000100000" w:firstRow="0" w:lastRow="0" w:firstColumn="0" w:lastColumn="0" w:oddVBand="0" w:evenVBand="0" w:oddHBand="1" w:evenHBand="0" w:firstRowFirstColumn="0" w:firstRowLastColumn="0" w:lastRowFirstColumn="0" w:lastRowLastColumn="0"/>
            </w:pPr>
            <w:r>
              <w:t>Opportunities and barriers for partner engagement in the mining workforce are identified</w:t>
            </w:r>
          </w:p>
        </w:tc>
      </w:tr>
      <w:tr w:rsidR="00183A94" w:rsidRPr="00FC5926" w14:paraId="21D3347C" w14:textId="77777777" w:rsidTr="00183A94">
        <w:trPr>
          <w:trHeight w:val="70"/>
        </w:trPr>
        <w:tc>
          <w:tcPr>
            <w:cnfStyle w:val="001000000000" w:firstRow="0" w:lastRow="0" w:firstColumn="1" w:lastColumn="0" w:oddVBand="0" w:evenVBand="0" w:oddHBand="0" w:evenHBand="0" w:firstRowFirstColumn="0" w:firstRowLastColumn="0" w:lastRowFirstColumn="0" w:lastRowLastColumn="0"/>
            <w:tcW w:w="863" w:type="pct"/>
            <w:vMerge w:val="restart"/>
            <w:shd w:val="clear" w:color="auto" w:fill="D9E2F3" w:themeFill="accent1" w:themeFillTint="33"/>
          </w:tcPr>
          <w:p w14:paraId="3A88CE06" w14:textId="71E0E97E" w:rsidR="00180D7F" w:rsidRPr="00FC5926" w:rsidRDefault="0062569C" w:rsidP="00773542">
            <w:pPr>
              <w:pStyle w:val="TableText"/>
              <w:numPr>
                <w:ilvl w:val="0"/>
                <w:numId w:val="11"/>
              </w:numPr>
              <w:ind w:left="306" w:hanging="284"/>
              <w:rPr>
                <w:rFonts w:cs="Arial"/>
              </w:rPr>
            </w:pPr>
            <w:r w:rsidRPr="0062569C">
              <w:rPr>
                <w:b w:val="0"/>
                <w:bCs w:val="0"/>
              </w:rPr>
              <w:t>Support entry to the industry at all levels by developing occupational career pathways</w:t>
            </w:r>
          </w:p>
        </w:tc>
        <w:tc>
          <w:tcPr>
            <w:tcW w:w="182" w:type="pct"/>
            <w:tcBorders>
              <w:right w:val="nil"/>
            </w:tcBorders>
            <w:shd w:val="clear" w:color="auto" w:fill="D9E2F3" w:themeFill="accent1" w:themeFillTint="33"/>
          </w:tcPr>
          <w:p w14:paraId="1A63C7F5" w14:textId="56D61BCE" w:rsidR="00180D7F" w:rsidRDefault="009C097B" w:rsidP="00332EE8">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8</w:t>
            </w:r>
          </w:p>
        </w:tc>
        <w:tc>
          <w:tcPr>
            <w:tcW w:w="2367" w:type="pct"/>
            <w:tcBorders>
              <w:left w:val="nil"/>
            </w:tcBorders>
            <w:shd w:val="clear" w:color="auto" w:fill="D9E2F3" w:themeFill="accent1" w:themeFillTint="33"/>
          </w:tcPr>
          <w:p w14:paraId="2AE97B8C" w14:textId="6EF5A472" w:rsidR="00180D7F" w:rsidRPr="00FC5926" w:rsidRDefault="00180D7F" w:rsidP="00332EE8">
            <w:pPr>
              <w:pStyle w:val="TableText"/>
              <w:cnfStyle w:val="000000000000" w:firstRow="0" w:lastRow="0" w:firstColumn="0" w:lastColumn="0" w:oddVBand="0" w:evenVBand="0" w:oddHBand="0" w:evenHBand="0" w:firstRowFirstColumn="0" w:firstRowLastColumn="0" w:lastRowFirstColumn="0" w:lastRowLastColumn="0"/>
              <w:rPr>
                <w:rFonts w:cs="Arial"/>
                <w:b/>
              </w:rPr>
            </w:pPr>
            <w:r>
              <w:rPr>
                <w:rFonts w:cs="Arial"/>
              </w:rPr>
              <w:t>Develop a</w:t>
            </w:r>
            <w:r w:rsidRPr="00FC5926">
              <w:rPr>
                <w:rFonts w:cs="Arial"/>
              </w:rPr>
              <w:t xml:space="preserve"> Tasmanian mining </w:t>
            </w:r>
            <w:r w:rsidRPr="00FC5926">
              <w:t>industry</w:t>
            </w:r>
            <w:r w:rsidRPr="00FC5926">
              <w:rPr>
                <w:rFonts w:cs="Arial"/>
              </w:rPr>
              <w:t xml:space="preserve"> career pathways</w:t>
            </w:r>
            <w:r>
              <w:rPr>
                <w:rFonts w:cs="Arial"/>
              </w:rPr>
              <w:t xml:space="preserve"> map as a follow-up to the outcomes of the above strategies and actions. </w:t>
            </w:r>
            <w:r w:rsidRPr="00FC5926">
              <w:rPr>
                <w:rFonts w:cs="Arial"/>
              </w:rPr>
              <w:t xml:space="preserve"> It should identify:</w:t>
            </w:r>
          </w:p>
          <w:p w14:paraId="5A357191" w14:textId="6065A65B" w:rsidR="00180D7F" w:rsidRPr="00FC5926" w:rsidRDefault="00180D7F"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Level of occupational demand in order to determine the priority job roles for this project</w:t>
            </w:r>
          </w:p>
          <w:p w14:paraId="4F529AFF" w14:textId="77777777" w:rsidR="00180D7F" w:rsidRPr="00FC5926" w:rsidRDefault="00180D7F"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Entry points into the industry</w:t>
            </w:r>
          </w:p>
          <w:p w14:paraId="415714C5" w14:textId="77777777" w:rsidR="00180D7F" w:rsidRPr="00FC5926" w:rsidRDefault="00180D7F"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Required skills and qualifications</w:t>
            </w:r>
          </w:p>
          <w:p w14:paraId="6A9C4B38" w14:textId="4C6317D5" w:rsidR="00180D7F" w:rsidRPr="00C678E8" w:rsidRDefault="00180D7F"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Career and job role progression</w:t>
            </w:r>
          </w:p>
          <w:p w14:paraId="08FE891A" w14:textId="77777777" w:rsidR="00180D7F" w:rsidRPr="00FC5926" w:rsidRDefault="00180D7F" w:rsidP="00332EE8">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Existing career pathway information could be utilised, such as mining company internal documents and other sources such as:</w:t>
            </w:r>
          </w:p>
          <w:p w14:paraId="27DE512F" w14:textId="68C30DB2" w:rsidR="00180D7F" w:rsidRPr="00FC5926" w:rsidRDefault="00F9502A" w:rsidP="00E35E49">
            <w:pPr>
              <w:pStyle w:val="Tablelistbullet"/>
              <w:cnfStyle w:val="000000000000" w:firstRow="0" w:lastRow="0" w:firstColumn="0" w:lastColumn="0" w:oddVBand="0" w:evenVBand="0" w:oddHBand="0" w:evenHBand="0" w:firstRowFirstColumn="0" w:firstRowLastColumn="0" w:lastRowFirstColumn="0" w:lastRowLastColumn="0"/>
            </w:pPr>
            <w:hyperlink r:id="rId29" w:history="1">
              <w:r w:rsidR="00180D7F" w:rsidRPr="00FC5926">
                <w:rPr>
                  <w:rStyle w:val="Hyperlink"/>
                </w:rPr>
                <w:t>The Australasian Institute of Mining and Metallurgy</w:t>
              </w:r>
            </w:hyperlink>
          </w:p>
          <w:p w14:paraId="2D5483E3" w14:textId="1DF146C6" w:rsidR="00180D7F" w:rsidRPr="00FC5926" w:rsidRDefault="00F9502A" w:rsidP="00E35E49">
            <w:pPr>
              <w:pStyle w:val="Tablelistbullet"/>
              <w:cnfStyle w:val="000000000000" w:firstRow="0" w:lastRow="0" w:firstColumn="0" w:lastColumn="0" w:oddVBand="0" w:evenVBand="0" w:oddHBand="0" w:evenHBand="0" w:firstRowFirstColumn="0" w:firstRowLastColumn="0" w:lastRowFirstColumn="0" w:lastRowLastColumn="0"/>
            </w:pPr>
            <w:hyperlink r:id="rId30" w:history="1">
              <w:r w:rsidR="00180D7F" w:rsidRPr="00FC5926">
                <w:rPr>
                  <w:rStyle w:val="Hyperlink"/>
                </w:rPr>
                <w:t>Hume Coal</w:t>
              </w:r>
            </w:hyperlink>
          </w:p>
        </w:tc>
        <w:tc>
          <w:tcPr>
            <w:tcW w:w="500" w:type="pct"/>
            <w:shd w:val="clear" w:color="auto" w:fill="D9E2F3" w:themeFill="accent1" w:themeFillTint="33"/>
          </w:tcPr>
          <w:p w14:paraId="120986EB" w14:textId="77777777" w:rsidR="00180D7F" w:rsidRPr="00FC5926" w:rsidRDefault="00180D7F" w:rsidP="00FC5926">
            <w:pPr>
              <w:pStyle w:val="TableText"/>
              <w:cnfStyle w:val="000000000000" w:firstRow="0" w:lastRow="0" w:firstColumn="0" w:lastColumn="0" w:oddVBand="0" w:evenVBand="0" w:oddHBand="0" w:evenHBand="0" w:firstRowFirstColumn="0" w:firstRowLastColumn="0" w:lastRowFirstColumn="0" w:lastRowLastColumn="0"/>
            </w:pPr>
            <w:r w:rsidRPr="00FC5926">
              <w:t>Lead – Workforce Development Group</w:t>
            </w:r>
          </w:p>
          <w:p w14:paraId="1E546ECA" w14:textId="1289A0F1" w:rsidR="00180D7F" w:rsidRPr="00FC5926" w:rsidRDefault="00180D7F" w:rsidP="00FC5926">
            <w:pPr>
              <w:pStyle w:val="TableText"/>
              <w:cnfStyle w:val="000000000000" w:firstRow="0" w:lastRow="0" w:firstColumn="0" w:lastColumn="0" w:oddVBand="0" w:evenVBand="0" w:oddHBand="0" w:evenHBand="0" w:firstRowFirstColumn="0" w:firstRowLastColumn="0" w:lastRowFirstColumn="0" w:lastRowLastColumn="0"/>
            </w:pPr>
            <w:r w:rsidRPr="00FC5926">
              <w:t>Support – TMEC / Skills Tasmania</w:t>
            </w:r>
          </w:p>
        </w:tc>
        <w:tc>
          <w:tcPr>
            <w:tcW w:w="409" w:type="pct"/>
            <w:shd w:val="clear" w:color="auto" w:fill="D9E2F3" w:themeFill="accent1" w:themeFillTint="33"/>
          </w:tcPr>
          <w:p w14:paraId="282AEE43" w14:textId="1E876728" w:rsidR="00180D7F" w:rsidRPr="00FC5926" w:rsidRDefault="00180D7F" w:rsidP="00332EE8">
            <w:pPr>
              <w:pStyle w:val="TableText"/>
              <w:cnfStyle w:val="000000000000" w:firstRow="0" w:lastRow="0" w:firstColumn="0" w:lastColumn="0" w:oddVBand="0" w:evenVBand="0" w:oddHBand="0" w:evenHBand="0" w:firstRowFirstColumn="0" w:firstRowLastColumn="0" w:lastRowFirstColumn="0" w:lastRowLastColumn="0"/>
            </w:pPr>
            <w:r w:rsidRPr="00FC5926">
              <w:rPr>
                <w:color w:val="385623" w:themeColor="accent6" w:themeShade="80"/>
              </w:rPr>
              <w:t>Longer Term</w:t>
            </w:r>
          </w:p>
        </w:tc>
        <w:tc>
          <w:tcPr>
            <w:tcW w:w="680" w:type="pct"/>
            <w:shd w:val="clear" w:color="auto" w:fill="D9E2F3" w:themeFill="accent1" w:themeFillTint="33"/>
          </w:tcPr>
          <w:p w14:paraId="120340A2" w14:textId="78892F4C" w:rsidR="00180D7F" w:rsidRPr="00FC5926" w:rsidRDefault="00180D7F" w:rsidP="00332EE8">
            <w:pPr>
              <w:pStyle w:val="TableText"/>
              <w:cnfStyle w:val="000000000000" w:firstRow="0" w:lastRow="0" w:firstColumn="0" w:lastColumn="0" w:oddVBand="0" w:evenVBand="0" w:oddHBand="0" w:evenHBand="0" w:firstRowFirstColumn="0" w:firstRowLastColumn="0" w:lastRowFirstColumn="0" w:lastRowLastColumn="0"/>
            </w:pPr>
            <w:r>
              <w:rPr>
                <w:rFonts w:cs="Arial"/>
              </w:rPr>
              <w:t>S</w:t>
            </w:r>
            <w:r w:rsidRPr="00FC5926">
              <w:rPr>
                <w:rFonts w:cs="Arial"/>
              </w:rPr>
              <w:t>how new and future workforce entrants potential Tasmanian mining career pathways</w:t>
            </w:r>
          </w:p>
        </w:tc>
      </w:tr>
      <w:tr w:rsidR="00183A94" w:rsidRPr="00FC5926" w14:paraId="47DE3A76" w14:textId="77777777" w:rsidTr="00183A94">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863" w:type="pct"/>
            <w:vMerge/>
          </w:tcPr>
          <w:p w14:paraId="550758D5" w14:textId="77777777" w:rsidR="00241CA8" w:rsidRPr="00FC5926" w:rsidRDefault="00241CA8" w:rsidP="00241CA8">
            <w:pPr>
              <w:pStyle w:val="TableText"/>
              <w:rPr>
                <w:rFonts w:cs="Arial"/>
              </w:rPr>
            </w:pPr>
          </w:p>
        </w:tc>
        <w:tc>
          <w:tcPr>
            <w:tcW w:w="182" w:type="pct"/>
            <w:tcBorders>
              <w:right w:val="nil"/>
            </w:tcBorders>
          </w:tcPr>
          <w:p w14:paraId="15E7B487" w14:textId="0B04F7D3" w:rsid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9</w:t>
            </w:r>
          </w:p>
        </w:tc>
        <w:tc>
          <w:tcPr>
            <w:tcW w:w="2367" w:type="pct"/>
            <w:tcBorders>
              <w:left w:val="nil"/>
            </w:tcBorders>
          </w:tcPr>
          <w:p w14:paraId="2C70AEAC" w14:textId="6DA54CCA" w:rsidR="00241CA8" w:rsidRPr="00241CA8" w:rsidRDefault="00F9502A" w:rsidP="00241CA8">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D</w:t>
            </w:r>
            <w:r w:rsidR="00241CA8" w:rsidRPr="00241CA8">
              <w:rPr>
                <w:rFonts w:cs="Arial"/>
              </w:rPr>
              <w:t>evelop</w:t>
            </w:r>
            <w:r w:rsidR="00241CA8" w:rsidRPr="00241CA8" w:rsidDel="00E35E49">
              <w:rPr>
                <w:rFonts w:cs="Arial"/>
              </w:rPr>
              <w:t xml:space="preserve"> </w:t>
            </w:r>
            <w:r w:rsidR="00241CA8" w:rsidRPr="00241CA8">
              <w:rPr>
                <w:rFonts w:cs="Arial"/>
              </w:rPr>
              <w:t>a mining industry partnership model</w:t>
            </w:r>
            <w:r>
              <w:rPr>
                <w:rFonts w:cs="Arial"/>
              </w:rPr>
              <w:t xml:space="preserve"> which </w:t>
            </w:r>
            <w:r w:rsidR="00241CA8" w:rsidRPr="00241CA8">
              <w:rPr>
                <w:rFonts w:cs="Arial"/>
              </w:rPr>
              <w:t xml:space="preserve">will involve seeking agreement from a range of stakeholders to collaborate with the mining industry to establish </w:t>
            </w:r>
            <w:r w:rsidR="00241CA8" w:rsidRPr="00241CA8" w:rsidDel="00E35E49">
              <w:rPr>
                <w:rFonts w:cs="Arial"/>
              </w:rPr>
              <w:t xml:space="preserve">develop </w:t>
            </w:r>
            <w:r w:rsidR="00241CA8" w:rsidRPr="00241CA8">
              <w:rPr>
                <w:rFonts w:cs="Arial"/>
              </w:rPr>
              <w:t xml:space="preserve">a framework </w:t>
            </w:r>
            <w:r>
              <w:rPr>
                <w:rFonts w:cs="Arial"/>
              </w:rPr>
              <w:t>to</w:t>
            </w:r>
            <w:r w:rsidR="00241CA8" w:rsidRPr="00241CA8">
              <w:rPr>
                <w:rFonts w:cs="Arial"/>
              </w:rPr>
              <w:t xml:space="preserve"> support career pathways for new workforce entrants.</w:t>
            </w:r>
          </w:p>
          <w:p w14:paraId="79E9BC78" w14:textId="77777777"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rPr>
                <w:rFonts w:cs="Arial"/>
              </w:rPr>
            </w:pPr>
            <w:r w:rsidRPr="00241CA8">
              <w:rPr>
                <w:rFonts w:cs="Arial"/>
              </w:rPr>
              <w:t>Stakeholders will include but is not limited to:</w:t>
            </w:r>
          </w:p>
          <w:p w14:paraId="16F04C72" w14:textId="77777777" w:rsidR="00241CA8" w:rsidRPr="00241CA8" w:rsidRDefault="00241CA8" w:rsidP="00241CA8">
            <w:pPr>
              <w:pStyle w:val="Tablelistbullet"/>
              <w:cnfStyle w:val="000000100000" w:firstRow="0" w:lastRow="0" w:firstColumn="0" w:lastColumn="0" w:oddVBand="0" w:evenVBand="0" w:oddHBand="1" w:evenHBand="0" w:firstRowFirstColumn="0" w:firstRowLastColumn="0" w:lastRowFirstColumn="0" w:lastRowLastColumn="0"/>
            </w:pPr>
            <w:r w:rsidRPr="00241CA8">
              <w:t>Education providers / training organisations (e.g. University of Tasmania and TasTAFE)</w:t>
            </w:r>
          </w:p>
          <w:p w14:paraId="1BB166D7" w14:textId="77777777" w:rsidR="00241CA8" w:rsidRPr="00241CA8" w:rsidRDefault="00241CA8" w:rsidP="00241CA8">
            <w:pPr>
              <w:pStyle w:val="Tablelistbullet"/>
              <w:cnfStyle w:val="000000100000" w:firstRow="0" w:lastRow="0" w:firstColumn="0" w:lastColumn="0" w:oddVBand="0" w:evenVBand="0" w:oddHBand="1" w:evenHBand="0" w:firstRowFirstColumn="0" w:firstRowLastColumn="0" w:lastRowFirstColumn="0" w:lastRowLastColumn="0"/>
            </w:pPr>
            <w:r w:rsidRPr="00241CA8">
              <w:t>Local councils</w:t>
            </w:r>
          </w:p>
          <w:p w14:paraId="75056E04" w14:textId="7FC30D22" w:rsidR="00241CA8" w:rsidRPr="00241CA8" w:rsidRDefault="00241CA8" w:rsidP="00241CA8">
            <w:pPr>
              <w:pStyle w:val="Tablelistbullet"/>
              <w:cnfStyle w:val="000000100000" w:firstRow="0" w:lastRow="0" w:firstColumn="0" w:lastColumn="0" w:oddVBand="0" w:evenVBand="0" w:oddHBand="1" w:evenHBand="0" w:firstRowFirstColumn="0" w:firstRowLastColumn="0" w:lastRowFirstColumn="0" w:lastRowLastColumn="0"/>
            </w:pPr>
            <w:r w:rsidRPr="00241CA8">
              <w:t>Supply chain organisations (e.g. contractor workforce providers)</w:t>
            </w:r>
          </w:p>
        </w:tc>
        <w:tc>
          <w:tcPr>
            <w:tcW w:w="500" w:type="pct"/>
          </w:tcPr>
          <w:p w14:paraId="78DBD90B" w14:textId="77777777"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Lead – Workforce Development Group</w:t>
            </w:r>
          </w:p>
          <w:p w14:paraId="6C5A7A86" w14:textId="25227967"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pPr>
            <w:r w:rsidRPr="00241CA8">
              <w:t>Support – TMEC / identified stakeholders</w:t>
            </w:r>
          </w:p>
        </w:tc>
        <w:tc>
          <w:tcPr>
            <w:tcW w:w="409" w:type="pct"/>
          </w:tcPr>
          <w:p w14:paraId="661B563F" w14:textId="36982861"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241CA8">
              <w:rPr>
                <w:color w:val="385623" w:themeColor="accent6" w:themeShade="80"/>
              </w:rPr>
              <w:t>Longer Term</w:t>
            </w:r>
          </w:p>
        </w:tc>
        <w:tc>
          <w:tcPr>
            <w:tcW w:w="680" w:type="pct"/>
          </w:tcPr>
          <w:p w14:paraId="41C89A8F" w14:textId="0651E16A" w:rsidR="00241CA8" w:rsidRPr="00241CA8" w:rsidRDefault="00241CA8" w:rsidP="00241CA8">
            <w:pPr>
              <w:pStyle w:val="TableText"/>
              <w:cnfStyle w:val="000000100000" w:firstRow="0" w:lastRow="0" w:firstColumn="0" w:lastColumn="0" w:oddVBand="0" w:evenVBand="0" w:oddHBand="1" w:evenHBand="0" w:firstRowFirstColumn="0" w:firstRowLastColumn="0" w:lastRowFirstColumn="0" w:lastRowLastColumn="0"/>
              <w:rPr>
                <w:rFonts w:cs="Arial"/>
              </w:rPr>
            </w:pPr>
            <w:r w:rsidRPr="00241CA8">
              <w:rPr>
                <w:rFonts w:cs="Arial"/>
              </w:rPr>
              <w:t>An agreed partnership model is implemented that will support new workers into a career in mining</w:t>
            </w:r>
          </w:p>
        </w:tc>
      </w:tr>
      <w:tr w:rsidR="00BE2111" w:rsidRPr="00FC5926" w14:paraId="05641989" w14:textId="77777777" w:rsidTr="00EE475E">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70AD47"/>
          </w:tcPr>
          <w:p w14:paraId="40CCA1B3" w14:textId="00FAC777" w:rsidR="00BE2111" w:rsidRPr="00FC5926" w:rsidRDefault="00BE2111" w:rsidP="00FF5773">
            <w:pPr>
              <w:pStyle w:val="TableText"/>
              <w:keepNext/>
              <w:rPr>
                <w:rFonts w:cs="Arial"/>
                <w:b w:val="0"/>
                <w:bCs w:val="0"/>
              </w:rPr>
            </w:pPr>
            <w:r w:rsidRPr="00FC5926">
              <w:rPr>
                <w:rFonts w:cs="Arial"/>
                <w:b w:val="0"/>
                <w:bCs w:val="0"/>
                <w:color w:val="FFFFFF" w:themeColor="background1"/>
              </w:rPr>
              <w:lastRenderedPageBreak/>
              <w:t>Building workforce capability</w:t>
            </w:r>
          </w:p>
        </w:tc>
      </w:tr>
      <w:tr w:rsidR="00183A94" w:rsidRPr="00FC5926" w14:paraId="0EE3028D" w14:textId="77777777" w:rsidTr="00183A9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63" w:type="pct"/>
            <w:vMerge w:val="restart"/>
            <w:shd w:val="clear" w:color="auto" w:fill="auto"/>
          </w:tcPr>
          <w:p w14:paraId="6C345783" w14:textId="77777777" w:rsidR="001D08EC" w:rsidRPr="00FC5926" w:rsidRDefault="001D08EC" w:rsidP="00773542">
            <w:pPr>
              <w:pStyle w:val="TableText"/>
              <w:numPr>
                <w:ilvl w:val="0"/>
                <w:numId w:val="11"/>
              </w:numPr>
              <w:ind w:left="306" w:hanging="284"/>
              <w:rPr>
                <w:rFonts w:cs="Arial"/>
                <w:b w:val="0"/>
                <w:bCs w:val="0"/>
              </w:rPr>
            </w:pPr>
            <w:r w:rsidRPr="00FC5926">
              <w:rPr>
                <w:rFonts w:cs="Arial"/>
                <w:b w:val="0"/>
                <w:bCs w:val="0"/>
              </w:rPr>
              <w:t>Develop job readiness training that can be undertaken before entering mining sites to ensure that new workforce entrants are both appropriate and capable</w:t>
            </w:r>
          </w:p>
        </w:tc>
        <w:tc>
          <w:tcPr>
            <w:tcW w:w="182" w:type="pct"/>
            <w:tcBorders>
              <w:bottom w:val="single" w:sz="4" w:space="0" w:color="8EAADB" w:themeColor="accent1" w:themeTint="99"/>
              <w:right w:val="nil"/>
            </w:tcBorders>
            <w:shd w:val="clear" w:color="auto" w:fill="auto"/>
          </w:tcPr>
          <w:p w14:paraId="28C71B2B" w14:textId="60B297DB" w:rsidR="001D08EC" w:rsidRPr="00FC5926" w:rsidRDefault="009C097B"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10</w:t>
            </w:r>
          </w:p>
        </w:tc>
        <w:tc>
          <w:tcPr>
            <w:tcW w:w="2367" w:type="pct"/>
            <w:tcBorders>
              <w:left w:val="nil"/>
              <w:bottom w:val="single" w:sz="4" w:space="0" w:color="8EAADB" w:themeColor="accent1" w:themeTint="99"/>
            </w:tcBorders>
            <w:shd w:val="clear" w:color="auto" w:fill="auto"/>
          </w:tcPr>
          <w:p w14:paraId="445B6F80" w14:textId="62711F35"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pPr>
            <w:r w:rsidRPr="00FC5926">
              <w:rPr>
                <w:rFonts w:cs="Arial"/>
              </w:rPr>
              <w:t xml:space="preserve">Investigate the potential for a pre-employment course that can provide training to address key identified workforce issues.  The course could include LLN assessment, basic safety </w:t>
            </w:r>
            <w:r w:rsidRPr="00FC5926">
              <w:t>information and / or generic entry level mining skills.</w:t>
            </w:r>
          </w:p>
          <w:p w14:paraId="7816369E" w14:textId="77777777"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pPr>
            <w:r w:rsidRPr="00FC5926">
              <w:t>A pre-employment course could update or draw on existing courses such as:</w:t>
            </w:r>
          </w:p>
          <w:p w14:paraId="073A544C" w14:textId="4C34DCFD" w:rsidR="001D08EC"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rPr>
                <w:rStyle w:val="Hyperlink"/>
                <w:color w:val="auto"/>
                <w:u w:val="none"/>
                <w:lang w:eastAsia="en-AU"/>
              </w:rPr>
            </w:pPr>
            <w:hyperlink r:id="rId31" w:history="1">
              <w:r w:rsidR="001D08EC" w:rsidRPr="00FC5926">
                <w:rPr>
                  <w:rStyle w:val="Hyperlink"/>
                </w:rPr>
                <w:t>The Industry &amp; Mining Induction (TasTAFE delivered)</w:t>
              </w:r>
            </w:hyperlink>
          </w:p>
          <w:p w14:paraId="03EB2FD2" w14:textId="230EC58E" w:rsidR="001D08EC"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32" w:history="1">
              <w:r w:rsidR="001D08EC" w:rsidRPr="00FC5926">
                <w:rPr>
                  <w:rStyle w:val="Hyperlink"/>
                </w:rPr>
                <w:t>Standard 11 Mining Induction courses (QLD required)</w:t>
              </w:r>
            </w:hyperlink>
          </w:p>
        </w:tc>
        <w:tc>
          <w:tcPr>
            <w:tcW w:w="500" w:type="pct"/>
            <w:shd w:val="clear" w:color="auto" w:fill="auto"/>
          </w:tcPr>
          <w:p w14:paraId="358DEEA8" w14:textId="77777777"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pPr>
            <w:r w:rsidRPr="00FC5926">
              <w:t xml:space="preserve">Lead – TMEC </w:t>
            </w:r>
          </w:p>
          <w:p w14:paraId="26818B22" w14:textId="0059731B"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t>Support – TasTAFE</w:t>
            </w:r>
          </w:p>
        </w:tc>
        <w:tc>
          <w:tcPr>
            <w:tcW w:w="409" w:type="pct"/>
            <w:shd w:val="clear" w:color="auto" w:fill="auto"/>
          </w:tcPr>
          <w:p w14:paraId="300FFDD4" w14:textId="4C2FA399"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color w:val="C00000"/>
              </w:rPr>
              <w:t>Immediate</w:t>
            </w:r>
          </w:p>
        </w:tc>
        <w:tc>
          <w:tcPr>
            <w:tcW w:w="680" w:type="pct"/>
            <w:shd w:val="clear" w:color="auto" w:fill="auto"/>
          </w:tcPr>
          <w:p w14:paraId="46E30927" w14:textId="236335B4"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The industry will determine whether a pre-employment course would help potential employees meet job readiness requirements</w:t>
            </w:r>
          </w:p>
        </w:tc>
      </w:tr>
      <w:tr w:rsidR="00183A94" w:rsidRPr="00FC5926" w14:paraId="5C87BAC8" w14:textId="77777777" w:rsidTr="00183A94">
        <w:trPr>
          <w:trHeight w:val="353"/>
        </w:trPr>
        <w:tc>
          <w:tcPr>
            <w:cnfStyle w:val="001000000000" w:firstRow="0" w:lastRow="0" w:firstColumn="1" w:lastColumn="0" w:oddVBand="0" w:evenVBand="0" w:oddHBand="0" w:evenHBand="0" w:firstRowFirstColumn="0" w:firstRowLastColumn="0" w:lastRowFirstColumn="0" w:lastRowLastColumn="0"/>
            <w:tcW w:w="863" w:type="pct"/>
            <w:vMerge/>
          </w:tcPr>
          <w:p w14:paraId="35E593DF" w14:textId="77777777" w:rsidR="001D08EC" w:rsidRPr="00FC5926" w:rsidRDefault="001D08EC" w:rsidP="00A55BAC">
            <w:pPr>
              <w:pStyle w:val="TableText"/>
              <w:rPr>
                <w:rFonts w:cs="Arial"/>
                <w:b w:val="0"/>
                <w:bCs w:val="0"/>
              </w:rPr>
            </w:pPr>
          </w:p>
        </w:tc>
        <w:tc>
          <w:tcPr>
            <w:tcW w:w="182" w:type="pct"/>
            <w:tcBorders>
              <w:bottom w:val="single" w:sz="4" w:space="0" w:color="8EAADB" w:themeColor="accent1" w:themeTint="99"/>
              <w:right w:val="nil"/>
            </w:tcBorders>
          </w:tcPr>
          <w:p w14:paraId="766C13B3" w14:textId="3E78A2DF" w:rsidR="001D08EC" w:rsidRDefault="009C097B"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11</w:t>
            </w:r>
          </w:p>
        </w:tc>
        <w:tc>
          <w:tcPr>
            <w:tcW w:w="2367" w:type="pct"/>
            <w:tcBorders>
              <w:left w:val="nil"/>
              <w:bottom w:val="single" w:sz="4" w:space="0" w:color="8EAADB" w:themeColor="accent1" w:themeTint="99"/>
            </w:tcBorders>
          </w:tcPr>
          <w:p w14:paraId="2A4F88D6" w14:textId="796A19C8"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pPr>
            <w:r>
              <w:rPr>
                <w:rFonts w:cs="Arial"/>
              </w:rPr>
              <w:t xml:space="preserve">Develop a </w:t>
            </w:r>
            <w:r w:rsidRPr="00FC5926">
              <w:rPr>
                <w:rFonts w:cs="Arial"/>
              </w:rPr>
              <w:t>business case to building Tasmania as a centre of excellence in simulator training for technical mining skills, with the purpose of p</w:t>
            </w:r>
            <w:r w:rsidRPr="00FC5926">
              <w:t>roviding training to the Tasmania mining industry workforce and attracting interstate mining trainees.</w:t>
            </w:r>
          </w:p>
          <w:p w14:paraId="436691C7" w14:textId="48413203"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pPr>
            <w:r w:rsidRPr="00FC5926">
              <w:t>There are several training simulators already being used in Tasmania (i.e. TMEC has a welding simulator and Grange Resources has a truck driver simulator).  This action will require collaborative industry governance to be effective.</w:t>
            </w:r>
          </w:p>
        </w:tc>
        <w:tc>
          <w:tcPr>
            <w:tcW w:w="500" w:type="pct"/>
          </w:tcPr>
          <w:p w14:paraId="36CA4FD0" w14:textId="77777777"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Lead – Workforce Development Group</w:t>
            </w:r>
          </w:p>
          <w:p w14:paraId="2E6CFB63" w14:textId="42E04D6E"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Support – TMEC</w:t>
            </w:r>
          </w:p>
        </w:tc>
        <w:tc>
          <w:tcPr>
            <w:tcW w:w="409" w:type="pct"/>
          </w:tcPr>
          <w:p w14:paraId="642B50E3" w14:textId="5E89FC3E"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color w:val="C00000"/>
              </w:rPr>
              <w:t>Immediate</w:t>
            </w:r>
          </w:p>
        </w:tc>
        <w:tc>
          <w:tcPr>
            <w:tcW w:w="680" w:type="pct"/>
          </w:tcPr>
          <w:p w14:paraId="66C63262" w14:textId="708973C5"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The industry will determine the risks and benefits associated with training simulators in Tasmania</w:t>
            </w:r>
          </w:p>
        </w:tc>
      </w:tr>
      <w:tr w:rsidR="00183A94" w:rsidRPr="00FC5926" w14:paraId="731BDA76" w14:textId="77777777" w:rsidTr="00183A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3" w:type="pct"/>
          </w:tcPr>
          <w:p w14:paraId="5B245F4C" w14:textId="2E7972BD" w:rsidR="001D08EC" w:rsidRPr="00FC5926" w:rsidRDefault="001D08EC" w:rsidP="00773542">
            <w:pPr>
              <w:pStyle w:val="TableText"/>
              <w:numPr>
                <w:ilvl w:val="0"/>
                <w:numId w:val="11"/>
              </w:numPr>
              <w:ind w:left="306" w:hanging="284"/>
              <w:rPr>
                <w:rFonts w:cs="Arial"/>
                <w:b w:val="0"/>
                <w:bCs w:val="0"/>
              </w:rPr>
            </w:pPr>
            <w:r w:rsidRPr="00FC5926">
              <w:rPr>
                <w:rFonts w:cs="Arial"/>
                <w:b w:val="0"/>
                <w:bCs w:val="0"/>
              </w:rPr>
              <w:t>Support continuous mining workforce learning through mentoring programs</w:t>
            </w:r>
          </w:p>
        </w:tc>
        <w:tc>
          <w:tcPr>
            <w:tcW w:w="182" w:type="pct"/>
            <w:tcBorders>
              <w:bottom w:val="single" w:sz="4" w:space="0" w:color="8EAADB" w:themeColor="accent1" w:themeTint="99"/>
              <w:right w:val="nil"/>
            </w:tcBorders>
          </w:tcPr>
          <w:p w14:paraId="5381FE06" w14:textId="350D1795" w:rsidR="001D08EC" w:rsidRDefault="00180D7F"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1</w:t>
            </w:r>
            <w:r w:rsidR="009C097B">
              <w:rPr>
                <w:rFonts w:cs="Arial"/>
              </w:rPr>
              <w:t>2</w:t>
            </w:r>
          </w:p>
        </w:tc>
        <w:tc>
          <w:tcPr>
            <w:tcW w:w="2367" w:type="pct"/>
            <w:tcBorders>
              <w:left w:val="nil"/>
              <w:bottom w:val="single" w:sz="4" w:space="0" w:color="8EAADB" w:themeColor="accent1" w:themeTint="99"/>
            </w:tcBorders>
          </w:tcPr>
          <w:p w14:paraId="11834929" w14:textId="2B3CB895"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Promote </w:t>
            </w:r>
            <w:r w:rsidRPr="00FC5926">
              <w:rPr>
                <w:rFonts w:cs="Arial"/>
              </w:rPr>
              <w:t>funding and support options for mentoring programs</w:t>
            </w:r>
            <w:r>
              <w:rPr>
                <w:rFonts w:cs="Arial"/>
              </w:rPr>
              <w:t xml:space="preserve"> to the industry</w:t>
            </w:r>
            <w:r w:rsidRPr="00FC5926">
              <w:rPr>
                <w:rFonts w:cs="Arial"/>
              </w:rPr>
              <w:t xml:space="preserve">.  The funding and / or support can be aimed at either helping mentors or those receiving mentorship. </w:t>
            </w:r>
          </w:p>
          <w:p w14:paraId="749A583C" w14:textId="7D9D0744"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Th</w:t>
            </w:r>
            <w:r>
              <w:rPr>
                <w:rFonts w:cs="Arial"/>
              </w:rPr>
              <w:t xml:space="preserve">is should involve </w:t>
            </w:r>
            <w:r w:rsidRPr="00FC5926">
              <w:rPr>
                <w:rFonts w:cs="Arial"/>
              </w:rPr>
              <w:t>the following funding options:</w:t>
            </w:r>
          </w:p>
          <w:p w14:paraId="66828F99" w14:textId="08BDA4CB" w:rsidR="001D08EC"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33" w:history="1">
              <w:r w:rsidR="001D08EC" w:rsidRPr="00FC5926">
                <w:rPr>
                  <w:rStyle w:val="Hyperlink"/>
                </w:rPr>
                <w:t>Skills Fund Grant</w:t>
              </w:r>
            </w:hyperlink>
          </w:p>
          <w:p w14:paraId="39CBCAAE" w14:textId="6E67A8CE" w:rsidR="001D08EC"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34" w:history="1">
              <w:r w:rsidR="001D08EC" w:rsidRPr="00FC5926">
                <w:rPr>
                  <w:rStyle w:val="Hyperlink"/>
                </w:rPr>
                <w:t>Regional Employment Trials</w:t>
              </w:r>
            </w:hyperlink>
          </w:p>
          <w:p w14:paraId="1D68C519" w14:textId="19C3D55C" w:rsidR="001D08EC"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35" w:history="1">
              <w:r w:rsidR="001D08EC" w:rsidRPr="00FC5926">
                <w:rPr>
                  <w:rStyle w:val="Hyperlink"/>
                </w:rPr>
                <w:t>Adult Learning Fund</w:t>
              </w:r>
            </w:hyperlink>
          </w:p>
        </w:tc>
        <w:tc>
          <w:tcPr>
            <w:tcW w:w="500" w:type="pct"/>
          </w:tcPr>
          <w:p w14:paraId="693BE92F" w14:textId="77777777" w:rsidR="001D08EC" w:rsidRPr="00FC5926" w:rsidRDefault="001D08EC" w:rsidP="00FC5926">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Lead – Workforce Development Group</w:t>
            </w:r>
          </w:p>
          <w:p w14:paraId="575E056E" w14:textId="19FCC8E7" w:rsidR="001D08EC" w:rsidRPr="00FC5926" w:rsidRDefault="001D08EC" w:rsidP="00FC5926">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Support – TMEC</w:t>
            </w:r>
          </w:p>
        </w:tc>
        <w:tc>
          <w:tcPr>
            <w:tcW w:w="409" w:type="pct"/>
          </w:tcPr>
          <w:p w14:paraId="4D033363" w14:textId="3B9C4794" w:rsidR="001D08EC" w:rsidRPr="00FC5926" w:rsidRDefault="001D08EC" w:rsidP="00B56411">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color w:val="385623" w:themeColor="accent6" w:themeShade="80"/>
              </w:rPr>
              <w:t>Longer Term</w:t>
            </w:r>
          </w:p>
        </w:tc>
        <w:tc>
          <w:tcPr>
            <w:tcW w:w="680" w:type="pct"/>
          </w:tcPr>
          <w:p w14:paraId="0ED7426C" w14:textId="43F97F84" w:rsidR="001D08EC" w:rsidRPr="00FC5926" w:rsidRDefault="001D08EC" w:rsidP="00B56411">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Promotion</w:t>
            </w:r>
            <w:r w:rsidRPr="00FC5926">
              <w:rPr>
                <w:rFonts w:cs="Arial"/>
              </w:rPr>
              <w:t xml:space="preserve"> of mentoring funding and support that can be utilised by Tasmanian mining companies</w:t>
            </w:r>
          </w:p>
        </w:tc>
      </w:tr>
      <w:tr w:rsidR="00183A94" w:rsidRPr="00FC5926" w14:paraId="33544480" w14:textId="77777777" w:rsidTr="00183A94">
        <w:trPr>
          <w:cantSplit/>
        </w:trPr>
        <w:tc>
          <w:tcPr>
            <w:cnfStyle w:val="001000000000" w:firstRow="0" w:lastRow="0" w:firstColumn="1" w:lastColumn="0" w:oddVBand="0" w:evenVBand="0" w:oddHBand="0" w:evenHBand="0" w:firstRowFirstColumn="0" w:firstRowLastColumn="0" w:lastRowFirstColumn="0" w:lastRowLastColumn="0"/>
            <w:tcW w:w="863" w:type="pct"/>
            <w:vMerge w:val="restart"/>
            <w:shd w:val="clear" w:color="auto" w:fill="auto"/>
          </w:tcPr>
          <w:p w14:paraId="1B0CA7FD" w14:textId="5AB1FF73" w:rsidR="001D08EC" w:rsidRPr="00FC5926" w:rsidRDefault="001D08EC" w:rsidP="00773542">
            <w:pPr>
              <w:pStyle w:val="TableText"/>
              <w:numPr>
                <w:ilvl w:val="0"/>
                <w:numId w:val="11"/>
              </w:numPr>
              <w:ind w:left="306" w:hanging="284"/>
              <w:rPr>
                <w:rFonts w:cs="Arial"/>
                <w:b w:val="0"/>
                <w:bCs w:val="0"/>
              </w:rPr>
            </w:pPr>
            <w:r w:rsidRPr="00FC5926">
              <w:rPr>
                <w:rFonts w:cs="Arial"/>
                <w:b w:val="0"/>
                <w:bCs w:val="0"/>
              </w:rPr>
              <w:lastRenderedPageBreak/>
              <w:t>Improve the language, literacy and numeracy standards of the workforce</w:t>
            </w:r>
          </w:p>
        </w:tc>
        <w:tc>
          <w:tcPr>
            <w:tcW w:w="182" w:type="pct"/>
            <w:tcBorders>
              <w:bottom w:val="single" w:sz="4" w:space="0" w:color="8EAADB" w:themeColor="accent1" w:themeTint="99"/>
              <w:right w:val="nil"/>
            </w:tcBorders>
          </w:tcPr>
          <w:p w14:paraId="08337C30" w14:textId="524E8F69" w:rsidR="001D08EC" w:rsidRPr="00FC5926" w:rsidRDefault="001150E2"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009C097B">
              <w:rPr>
                <w:rFonts w:cs="Arial"/>
              </w:rPr>
              <w:t>3</w:t>
            </w:r>
          </w:p>
        </w:tc>
        <w:tc>
          <w:tcPr>
            <w:tcW w:w="2367" w:type="pct"/>
            <w:tcBorders>
              <w:left w:val="nil"/>
              <w:bottom w:val="single" w:sz="4" w:space="0" w:color="8EAADB" w:themeColor="accent1" w:themeTint="99"/>
            </w:tcBorders>
          </w:tcPr>
          <w:p w14:paraId="2D2C6E25" w14:textId="3CFB1A7A"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 xml:space="preserve">Form partnerships with other Tasmanian industries to articulate the language, literacy and numeracy </w:t>
            </w:r>
            <w:r>
              <w:rPr>
                <w:rFonts w:cs="Arial"/>
              </w:rPr>
              <w:t xml:space="preserve">requirements of industry.  These requirements </w:t>
            </w:r>
            <w:r w:rsidRPr="00FC5926">
              <w:t>will be articulated to both government and education providers / training organisations.</w:t>
            </w:r>
          </w:p>
          <w:p w14:paraId="41B4C48D" w14:textId="77777777" w:rsidR="001D08EC" w:rsidRPr="00FC5926" w:rsidRDefault="001D08EC" w:rsidP="00A55BAC">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This would include discussions with industry associations such as:</w:t>
            </w:r>
          </w:p>
          <w:p w14:paraId="4EE52878" w14:textId="77777777" w:rsidR="001D08EC" w:rsidRPr="00FC5926" w:rsidRDefault="001D08EC"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Tasmanian Chamber of Commerce and Industry</w:t>
            </w:r>
          </w:p>
          <w:p w14:paraId="484E55DD" w14:textId="77777777" w:rsidR="001D08EC" w:rsidRPr="00FC5926" w:rsidRDefault="001D08EC"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Civil Contractors Federation</w:t>
            </w:r>
          </w:p>
          <w:p w14:paraId="0040EA10" w14:textId="77777777" w:rsidR="001D08EC" w:rsidRPr="00FC5926" w:rsidRDefault="001D08EC"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Tasmanian Farmers &amp; Graziers Association</w:t>
            </w:r>
          </w:p>
          <w:p w14:paraId="55601511" w14:textId="77777777" w:rsidR="001D08EC" w:rsidRPr="00FC5926" w:rsidRDefault="001D08EC"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Tasmanian Seafood Industry Council</w:t>
            </w:r>
          </w:p>
          <w:p w14:paraId="4F95458A" w14:textId="4DAE7E12" w:rsidR="001D08EC" w:rsidRPr="00C678E8" w:rsidRDefault="001D08EC" w:rsidP="00E35E49">
            <w:pPr>
              <w:pStyle w:val="Tablelistbullet"/>
              <w:cnfStyle w:val="000000000000" w:firstRow="0" w:lastRow="0" w:firstColumn="0" w:lastColumn="0" w:oddVBand="0" w:evenVBand="0" w:oddHBand="0" w:evenHBand="0" w:firstRowFirstColumn="0" w:firstRowLastColumn="0" w:lastRowFirstColumn="0" w:lastRowLastColumn="0"/>
            </w:pPr>
            <w:r w:rsidRPr="00FC5926">
              <w:t>Tasmanian Hospitality Association</w:t>
            </w:r>
          </w:p>
        </w:tc>
        <w:tc>
          <w:tcPr>
            <w:tcW w:w="500" w:type="pct"/>
          </w:tcPr>
          <w:p w14:paraId="37373A16" w14:textId="77777777" w:rsidR="001D08EC" w:rsidRPr="00FC5926" w:rsidRDefault="001D08EC" w:rsidP="00FC5926">
            <w:pPr>
              <w:pStyle w:val="TableText"/>
              <w:cnfStyle w:val="000000000000" w:firstRow="0" w:lastRow="0" w:firstColumn="0" w:lastColumn="0" w:oddVBand="0" w:evenVBand="0" w:oddHBand="0" w:evenHBand="0" w:firstRowFirstColumn="0" w:firstRowLastColumn="0" w:lastRowFirstColumn="0" w:lastRowLastColumn="0"/>
              <w:rPr>
                <w:rFonts w:cs="Arial"/>
                <w:bCs/>
              </w:rPr>
            </w:pPr>
            <w:r w:rsidRPr="00FC5926">
              <w:rPr>
                <w:rFonts w:cs="Arial"/>
              </w:rPr>
              <w:t>Lead – Workforce Development Group</w:t>
            </w:r>
          </w:p>
          <w:p w14:paraId="2C99948D" w14:textId="6AEE0F36" w:rsidR="001D08EC" w:rsidRPr="00FC5926" w:rsidRDefault="001D08EC" w:rsidP="00FC5926">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Support – TMEC</w:t>
            </w:r>
          </w:p>
        </w:tc>
        <w:tc>
          <w:tcPr>
            <w:tcW w:w="409" w:type="pct"/>
          </w:tcPr>
          <w:p w14:paraId="1AE4C1C3" w14:textId="143E14CF" w:rsidR="001D08EC" w:rsidRPr="00FC5926" w:rsidRDefault="001D08EC" w:rsidP="00B56411">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color w:val="7030A0"/>
              </w:rPr>
              <w:t>Medium Term</w:t>
            </w:r>
          </w:p>
        </w:tc>
        <w:tc>
          <w:tcPr>
            <w:tcW w:w="680" w:type="pct"/>
          </w:tcPr>
          <w:p w14:paraId="54EA15D4" w14:textId="44246D80" w:rsidR="001D08EC" w:rsidRPr="00FC5926" w:rsidRDefault="001D08EC" w:rsidP="00B56411">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Publicly available mining industry language, literacy and numeracy requirements</w:t>
            </w:r>
          </w:p>
        </w:tc>
      </w:tr>
      <w:tr w:rsidR="00183A94" w:rsidRPr="00FC5926" w14:paraId="5F29502F" w14:textId="77777777" w:rsidTr="00183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vMerge/>
            <w:shd w:val="clear" w:color="auto" w:fill="auto"/>
          </w:tcPr>
          <w:p w14:paraId="10F12A53" w14:textId="77777777" w:rsidR="001D08EC" w:rsidRPr="00FC5926" w:rsidRDefault="001D08EC" w:rsidP="00F84FB6">
            <w:pPr>
              <w:pStyle w:val="TableText"/>
              <w:rPr>
                <w:rFonts w:cs="Arial"/>
              </w:rPr>
            </w:pPr>
          </w:p>
        </w:tc>
        <w:tc>
          <w:tcPr>
            <w:tcW w:w="182" w:type="pct"/>
            <w:tcBorders>
              <w:bottom w:val="single" w:sz="4" w:space="0" w:color="8EAADB" w:themeColor="accent1" w:themeTint="99"/>
              <w:right w:val="nil"/>
            </w:tcBorders>
            <w:shd w:val="clear" w:color="auto" w:fill="auto"/>
          </w:tcPr>
          <w:p w14:paraId="5A48C90D" w14:textId="2AE098A5" w:rsidR="001D08EC" w:rsidRDefault="001D08EC"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1</w:t>
            </w:r>
            <w:r w:rsidR="009C097B">
              <w:rPr>
                <w:rFonts w:cs="Arial"/>
              </w:rPr>
              <w:t>4</w:t>
            </w:r>
          </w:p>
        </w:tc>
        <w:tc>
          <w:tcPr>
            <w:tcW w:w="2367" w:type="pct"/>
            <w:tcBorders>
              <w:left w:val="nil"/>
              <w:bottom w:val="single" w:sz="4" w:space="0" w:color="8EAADB" w:themeColor="accent1" w:themeTint="99"/>
            </w:tcBorders>
            <w:shd w:val="clear" w:color="auto" w:fill="auto"/>
          </w:tcPr>
          <w:p w14:paraId="476369E2" w14:textId="3A2FE3F4" w:rsidR="001D08EC" w:rsidRPr="00FC5926" w:rsidRDefault="001D08EC" w:rsidP="00A55BAC">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Assist mining companies to engage with</w:t>
            </w:r>
            <w:r w:rsidRPr="00FC5926">
              <w:rPr>
                <w:rFonts w:cs="Arial"/>
              </w:rPr>
              <w:t xml:space="preserve"> services that can help existing workers improve their language, literacy and numeracy.</w:t>
            </w:r>
          </w:p>
          <w:p w14:paraId="4BE1DD17" w14:textId="16EB8406" w:rsidR="001D08EC" w:rsidRPr="00FC5926" w:rsidRDefault="001D08EC" w:rsidP="00FC5926">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 range of </w:t>
            </w:r>
            <w:r w:rsidRPr="00FC5926">
              <w:rPr>
                <w:rFonts w:cs="Arial"/>
              </w:rPr>
              <w:t xml:space="preserve">programs and training </w:t>
            </w:r>
            <w:r>
              <w:rPr>
                <w:rFonts w:cs="Arial"/>
              </w:rPr>
              <w:t xml:space="preserve">exist </w:t>
            </w:r>
            <w:r w:rsidRPr="00FC5926">
              <w:rPr>
                <w:rFonts w:cs="Arial"/>
              </w:rPr>
              <w:t xml:space="preserve">that can help mining companies </w:t>
            </w:r>
            <w:r>
              <w:rPr>
                <w:rFonts w:cs="Arial"/>
              </w:rPr>
              <w:t xml:space="preserve">and their workers </w:t>
            </w:r>
            <w:r w:rsidRPr="00FC5926">
              <w:rPr>
                <w:rFonts w:cs="Arial"/>
              </w:rPr>
              <w:t>improve the language, literacy and numeracy of their workforce.  These include:</w:t>
            </w:r>
          </w:p>
          <w:p w14:paraId="32EB9AF7" w14:textId="08DCDAE7" w:rsidR="001D08EC" w:rsidRPr="00FC5926"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36" w:history="1">
              <w:r w:rsidR="001D08EC" w:rsidRPr="00FC5926">
                <w:rPr>
                  <w:rStyle w:val="Hyperlink"/>
                </w:rPr>
                <w:t>26TEN Grants</w:t>
              </w:r>
            </w:hyperlink>
          </w:p>
          <w:p w14:paraId="57EA57B1" w14:textId="1BC69767" w:rsidR="001D08EC" w:rsidRDefault="00F9502A" w:rsidP="00E35E49">
            <w:pPr>
              <w:pStyle w:val="Tablelistbullet"/>
              <w:cnfStyle w:val="000000100000" w:firstRow="0" w:lastRow="0" w:firstColumn="0" w:lastColumn="0" w:oddVBand="0" w:evenVBand="0" w:oddHBand="1" w:evenHBand="0" w:firstRowFirstColumn="0" w:firstRowLastColumn="0" w:lastRowFirstColumn="0" w:lastRowLastColumn="0"/>
              <w:rPr>
                <w:rStyle w:val="Hyperlink"/>
              </w:rPr>
            </w:pPr>
            <w:hyperlink r:id="rId37" w:history="1">
              <w:r w:rsidR="001D08EC" w:rsidRPr="003329BC">
                <w:rPr>
                  <w:rStyle w:val="Hyperlink"/>
                </w:rPr>
                <w:t>TasTAFE Literacy and Numeracy for Work and Training courses</w:t>
              </w:r>
            </w:hyperlink>
          </w:p>
          <w:p w14:paraId="0EF17956" w14:textId="2CAB08D6" w:rsidR="001D08EC" w:rsidRPr="00C678E8" w:rsidRDefault="00F9502A" w:rsidP="00E35E49">
            <w:pPr>
              <w:pStyle w:val="Tablelistbullet"/>
              <w:cnfStyle w:val="000000100000" w:firstRow="0" w:lastRow="0" w:firstColumn="0" w:lastColumn="0" w:oddVBand="0" w:evenVBand="0" w:oddHBand="1" w:evenHBand="0" w:firstRowFirstColumn="0" w:firstRowLastColumn="0" w:lastRowFirstColumn="0" w:lastRowLastColumn="0"/>
            </w:pPr>
            <w:hyperlink r:id="rId38" w:history="1">
              <w:r w:rsidR="001D08EC" w:rsidRPr="002178B4">
                <w:rPr>
                  <w:rStyle w:val="Hyperlink"/>
                </w:rPr>
                <w:t>Libraries Tasmania</w:t>
              </w:r>
            </w:hyperlink>
          </w:p>
        </w:tc>
        <w:tc>
          <w:tcPr>
            <w:tcW w:w="500" w:type="pct"/>
            <w:shd w:val="clear" w:color="auto" w:fill="auto"/>
          </w:tcPr>
          <w:p w14:paraId="77EA86EC" w14:textId="77777777" w:rsidR="001D08EC" w:rsidRPr="00FC5926" w:rsidRDefault="001D08EC" w:rsidP="00FC5926">
            <w:pPr>
              <w:pStyle w:val="TableText"/>
              <w:cnfStyle w:val="000000100000" w:firstRow="0" w:lastRow="0" w:firstColumn="0" w:lastColumn="0" w:oddVBand="0" w:evenVBand="0" w:oddHBand="1" w:evenHBand="0" w:firstRowFirstColumn="0" w:firstRowLastColumn="0" w:lastRowFirstColumn="0" w:lastRowLastColumn="0"/>
              <w:rPr>
                <w:rFonts w:cs="Arial"/>
                <w:bCs/>
              </w:rPr>
            </w:pPr>
            <w:r w:rsidRPr="00FC5926">
              <w:rPr>
                <w:rFonts w:cs="Arial"/>
              </w:rPr>
              <w:t>Lead – Workforce Development Group</w:t>
            </w:r>
          </w:p>
          <w:p w14:paraId="60C8A125" w14:textId="18114E1B" w:rsidR="001D08EC" w:rsidRPr="00FC5926" w:rsidRDefault="001D08EC" w:rsidP="00FC5926">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Support – TMEC</w:t>
            </w:r>
          </w:p>
        </w:tc>
        <w:tc>
          <w:tcPr>
            <w:tcW w:w="409" w:type="pct"/>
            <w:shd w:val="clear" w:color="auto" w:fill="auto"/>
          </w:tcPr>
          <w:p w14:paraId="0BDAFE88" w14:textId="3067A92A" w:rsidR="001D08EC" w:rsidRPr="00FC5926" w:rsidRDefault="001D08EC" w:rsidP="00B56411">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color w:val="7030A0"/>
              </w:rPr>
              <w:t>Medium Term</w:t>
            </w:r>
          </w:p>
        </w:tc>
        <w:tc>
          <w:tcPr>
            <w:tcW w:w="680" w:type="pct"/>
            <w:shd w:val="clear" w:color="auto" w:fill="auto"/>
          </w:tcPr>
          <w:p w14:paraId="6B636512" w14:textId="3EED33E5" w:rsidR="001D08EC" w:rsidRPr="00FC5926" w:rsidRDefault="001D08EC" w:rsidP="00B56411">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 xml:space="preserve">Industry </w:t>
            </w:r>
            <w:r>
              <w:rPr>
                <w:rFonts w:cs="Arial"/>
              </w:rPr>
              <w:t xml:space="preserve">accesses </w:t>
            </w:r>
            <w:r w:rsidRPr="00FC5926">
              <w:rPr>
                <w:rFonts w:cs="Arial"/>
              </w:rPr>
              <w:t>available language, literacy and numeracy programs</w:t>
            </w:r>
            <w:r>
              <w:rPr>
                <w:rFonts w:cs="Arial"/>
              </w:rPr>
              <w:t xml:space="preserve"> as required</w:t>
            </w:r>
          </w:p>
        </w:tc>
      </w:tr>
      <w:tr w:rsidR="00183A94" w:rsidRPr="00FC5926" w14:paraId="264FD3E4" w14:textId="77777777" w:rsidTr="00183A94">
        <w:trPr>
          <w:cantSplit/>
        </w:trPr>
        <w:tc>
          <w:tcPr>
            <w:cnfStyle w:val="001000000000" w:firstRow="0" w:lastRow="0" w:firstColumn="1" w:lastColumn="0" w:oddVBand="0" w:evenVBand="0" w:oddHBand="0" w:evenHBand="0" w:firstRowFirstColumn="0" w:firstRowLastColumn="0" w:lastRowFirstColumn="0" w:lastRowLastColumn="0"/>
            <w:tcW w:w="863" w:type="pct"/>
            <w:shd w:val="clear" w:color="auto" w:fill="D9E2F3" w:themeFill="accent1" w:themeFillTint="33"/>
          </w:tcPr>
          <w:p w14:paraId="25813E92" w14:textId="775AC5B0" w:rsidR="001D08EC" w:rsidRPr="00FC5926" w:rsidRDefault="001D08EC" w:rsidP="00773542">
            <w:pPr>
              <w:pStyle w:val="TableText"/>
              <w:numPr>
                <w:ilvl w:val="0"/>
                <w:numId w:val="11"/>
              </w:numPr>
              <w:ind w:left="306" w:hanging="284"/>
              <w:rPr>
                <w:rFonts w:cs="Arial"/>
                <w:b w:val="0"/>
                <w:bCs w:val="0"/>
              </w:rPr>
            </w:pPr>
            <w:r w:rsidRPr="00FC5926">
              <w:rPr>
                <w:rFonts w:cs="Arial"/>
                <w:b w:val="0"/>
                <w:bCs w:val="0"/>
              </w:rPr>
              <w:t>Ensure that industry effectively influences national training package development to ensure its skills needs are met</w:t>
            </w:r>
          </w:p>
        </w:tc>
        <w:tc>
          <w:tcPr>
            <w:tcW w:w="182" w:type="pct"/>
            <w:tcBorders>
              <w:bottom w:val="single" w:sz="4" w:space="0" w:color="8EAADB" w:themeColor="accent1" w:themeTint="99"/>
              <w:right w:val="nil"/>
            </w:tcBorders>
            <w:shd w:val="clear" w:color="auto" w:fill="D9E2F3" w:themeFill="accent1" w:themeFillTint="33"/>
          </w:tcPr>
          <w:p w14:paraId="3B9F8D18" w14:textId="054CC232" w:rsidR="001D08EC" w:rsidRPr="00B56F5D" w:rsidRDefault="001D08EC" w:rsidP="00F40474">
            <w:pPr>
              <w:pStyle w:val="TableText"/>
              <w:cnfStyle w:val="000000000000" w:firstRow="0" w:lastRow="0" w:firstColumn="0" w:lastColumn="0" w:oddVBand="0" w:evenVBand="0" w:oddHBand="0" w:evenHBand="0" w:firstRowFirstColumn="0" w:firstRowLastColumn="0" w:lastRowFirstColumn="0" w:lastRowLastColumn="0"/>
              <w:rPr>
                <w:rFonts w:cs="Arial"/>
              </w:rPr>
            </w:pPr>
            <w:r w:rsidRPr="00B56F5D">
              <w:rPr>
                <w:rFonts w:cs="Arial"/>
              </w:rPr>
              <w:t>1</w:t>
            </w:r>
            <w:r w:rsidR="009C097B" w:rsidRPr="00B56F5D">
              <w:rPr>
                <w:rFonts w:cs="Arial"/>
              </w:rPr>
              <w:t>5</w:t>
            </w:r>
          </w:p>
        </w:tc>
        <w:tc>
          <w:tcPr>
            <w:tcW w:w="2367" w:type="pct"/>
            <w:tcBorders>
              <w:left w:val="nil"/>
              <w:bottom w:val="single" w:sz="4" w:space="0" w:color="8EAADB" w:themeColor="accent1" w:themeTint="99"/>
            </w:tcBorders>
            <w:shd w:val="clear" w:color="auto" w:fill="D9E2F3" w:themeFill="accent1" w:themeFillTint="33"/>
          </w:tcPr>
          <w:p w14:paraId="15F63B18" w14:textId="139014BB" w:rsidR="001D08EC" w:rsidRPr="00B56F5D" w:rsidRDefault="00F9502A" w:rsidP="00F40474">
            <w:pPr>
              <w:pStyle w:val="TableText"/>
              <w:cnfStyle w:val="000000000000" w:firstRow="0" w:lastRow="0" w:firstColumn="0" w:lastColumn="0" w:oddVBand="0" w:evenVBand="0" w:oddHBand="0" w:evenHBand="0" w:firstRowFirstColumn="0" w:firstRowLastColumn="0" w:lastRowFirstColumn="0" w:lastRowLastColumn="0"/>
              <w:rPr>
                <w:rStyle w:val="Hyperlink"/>
              </w:rPr>
            </w:pPr>
            <w:r>
              <w:rPr>
                <w:rFonts w:cs="Arial"/>
              </w:rPr>
              <w:t>E</w:t>
            </w:r>
            <w:r w:rsidR="001D08EC" w:rsidRPr="00B56F5D">
              <w:rPr>
                <w:rFonts w:cs="Arial"/>
              </w:rPr>
              <w:t xml:space="preserve">ngage with the </w:t>
            </w:r>
            <w:hyperlink r:id="rId39" w:history="1">
              <w:r w:rsidR="001D08EC" w:rsidRPr="00B56F5D">
                <w:rPr>
                  <w:rStyle w:val="Hyperlink"/>
                  <w:rFonts w:cs="Arial"/>
                </w:rPr>
                <w:t>Metalliferous Mining Industry Reference Committee</w:t>
              </w:r>
            </w:hyperlink>
            <w:r w:rsidR="001D08EC" w:rsidRPr="00B56F5D">
              <w:rPr>
                <w:rFonts w:cs="Arial"/>
              </w:rPr>
              <w:t xml:space="preserve"> and the </w:t>
            </w:r>
            <w:hyperlink r:id="rId40" w:history="1">
              <w:r w:rsidR="001D08EC" w:rsidRPr="00B56F5D">
                <w:rPr>
                  <w:rStyle w:val="Hyperlink"/>
                  <w:rFonts w:cs="Arial"/>
                </w:rPr>
                <w:t>Coal Mining Industry Reference Committee</w:t>
              </w:r>
            </w:hyperlink>
            <w:r w:rsidR="001D08EC" w:rsidRPr="00B56F5D">
              <w:rPr>
                <w:rFonts w:cs="Arial"/>
              </w:rPr>
              <w:t xml:space="preserve"> regarding the industry skills requirements that need to be reflected in the </w:t>
            </w:r>
            <w:hyperlink r:id="rId41" w:history="1">
              <w:r w:rsidR="001D08EC" w:rsidRPr="00B56F5D">
                <w:rPr>
                  <w:rStyle w:val="Hyperlink"/>
                  <w:rFonts w:cs="Arial"/>
                </w:rPr>
                <w:t>Resources and Infrastructure Training Package</w:t>
              </w:r>
            </w:hyperlink>
            <w:r w:rsidR="00180D7F" w:rsidRPr="00B56F5D">
              <w:rPr>
                <w:rStyle w:val="Hyperlink"/>
                <w:rFonts w:cs="Arial"/>
              </w:rPr>
              <w:t>.</w:t>
            </w:r>
          </w:p>
          <w:p w14:paraId="0F1E123C" w14:textId="77777777" w:rsidR="00180D7F" w:rsidRPr="00B56F5D" w:rsidRDefault="00C02362" w:rsidP="00473A40">
            <w:pPr>
              <w:pStyle w:val="TableText"/>
              <w:cnfStyle w:val="000000000000" w:firstRow="0" w:lastRow="0" w:firstColumn="0" w:lastColumn="0" w:oddVBand="0" w:evenVBand="0" w:oddHBand="0" w:evenHBand="0" w:firstRowFirstColumn="0" w:firstRowLastColumn="0" w:lastRowFirstColumn="0" w:lastRowLastColumn="0"/>
              <w:rPr>
                <w:rFonts w:cs="Arial"/>
              </w:rPr>
            </w:pPr>
            <w:r w:rsidRPr="00B56F5D">
              <w:rPr>
                <w:rFonts w:cs="Arial"/>
              </w:rPr>
              <w:t xml:space="preserve">An example of the changes the industry could seek in the national training package is the inclusion of emerging skills arising from Industry 4.0 and the digital disruption of </w:t>
            </w:r>
            <w:r w:rsidR="00473A40" w:rsidRPr="00B56F5D">
              <w:rPr>
                <w:rFonts w:cs="Arial"/>
              </w:rPr>
              <w:t xml:space="preserve">the </w:t>
            </w:r>
            <w:r w:rsidRPr="00B56F5D">
              <w:rPr>
                <w:rFonts w:cs="Arial"/>
              </w:rPr>
              <w:t>Industry.</w:t>
            </w:r>
          </w:p>
          <w:p w14:paraId="6A4A21B5" w14:textId="1BEDE06F" w:rsidR="00B56F5D" w:rsidRPr="00773542" w:rsidRDefault="00773542" w:rsidP="00473A40">
            <w:pPr>
              <w:pStyle w:val="Tablelistbullet"/>
              <w:cnfStyle w:val="000000000000" w:firstRow="0" w:lastRow="0" w:firstColumn="0" w:lastColumn="0" w:oddVBand="0" w:evenVBand="0" w:oddHBand="0" w:evenHBand="0" w:firstRowFirstColumn="0" w:firstRowLastColumn="0" w:lastRowFirstColumn="0" w:lastRowLastColumn="0"/>
              <w:rPr>
                <w:rFonts w:cs="Arial"/>
              </w:rPr>
            </w:pPr>
            <w:r>
              <w:t xml:space="preserve">It should be noted that the Australian Government is piloting a new </w:t>
            </w:r>
            <w:hyperlink r:id="rId42" w:history="1">
              <w:r w:rsidRPr="00773542">
                <w:rPr>
                  <w:rStyle w:val="Hyperlink"/>
                </w:rPr>
                <w:t>Skills Organisation</w:t>
              </w:r>
            </w:hyperlink>
            <w:r>
              <w:t xml:space="preserve"> that is responsible for skills standards and other matters in the mining industry.  This will impact how the industry can engage with the national training system.</w:t>
            </w:r>
          </w:p>
        </w:tc>
        <w:tc>
          <w:tcPr>
            <w:tcW w:w="500" w:type="pct"/>
            <w:shd w:val="clear" w:color="auto" w:fill="D9E2F3" w:themeFill="accent1" w:themeFillTint="33"/>
          </w:tcPr>
          <w:p w14:paraId="6007BA25" w14:textId="77777777" w:rsidR="001D08EC" w:rsidRPr="00FC5926" w:rsidRDefault="001D08EC" w:rsidP="00FC5926">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Lead – Workforce Development Group</w:t>
            </w:r>
          </w:p>
          <w:p w14:paraId="38FBFF36" w14:textId="237D054B" w:rsidR="001D08EC" w:rsidRPr="00FC5926" w:rsidRDefault="001D08EC" w:rsidP="00FC5926">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Support – TMEC / Skills Tasmania / PwC Skills for Australia</w:t>
            </w:r>
          </w:p>
        </w:tc>
        <w:tc>
          <w:tcPr>
            <w:tcW w:w="409" w:type="pct"/>
            <w:shd w:val="clear" w:color="auto" w:fill="D9E2F3" w:themeFill="accent1" w:themeFillTint="33"/>
          </w:tcPr>
          <w:p w14:paraId="367A8805" w14:textId="41843EE9" w:rsidR="001D08EC" w:rsidRPr="00FC5926" w:rsidRDefault="001D08EC" w:rsidP="00B56411">
            <w:pPr>
              <w:pStyle w:val="TableText"/>
              <w:cnfStyle w:val="000000000000" w:firstRow="0" w:lastRow="0" w:firstColumn="0" w:lastColumn="0" w:oddVBand="0" w:evenVBand="0" w:oddHBand="0" w:evenHBand="0" w:firstRowFirstColumn="0" w:firstRowLastColumn="0" w:lastRowFirstColumn="0" w:lastRowLastColumn="0"/>
              <w:rPr>
                <w:color w:val="C00000"/>
              </w:rPr>
            </w:pPr>
            <w:r w:rsidRPr="00FC5926">
              <w:rPr>
                <w:color w:val="385623" w:themeColor="accent6" w:themeShade="80"/>
              </w:rPr>
              <w:t>Longer Term</w:t>
            </w:r>
          </w:p>
        </w:tc>
        <w:tc>
          <w:tcPr>
            <w:tcW w:w="680" w:type="pct"/>
            <w:shd w:val="clear" w:color="auto" w:fill="D9E2F3" w:themeFill="accent1" w:themeFillTint="33"/>
          </w:tcPr>
          <w:p w14:paraId="15C0F3A6" w14:textId="3DB62956" w:rsidR="001D08EC" w:rsidRPr="00FC5926" w:rsidRDefault="001D08EC" w:rsidP="00B56411">
            <w:pPr>
              <w:pStyle w:val="TableText"/>
              <w:cnfStyle w:val="000000000000" w:firstRow="0" w:lastRow="0" w:firstColumn="0" w:lastColumn="0" w:oddVBand="0" w:evenVBand="0" w:oddHBand="0" w:evenHBand="0" w:firstRowFirstColumn="0" w:firstRowLastColumn="0" w:lastRowFirstColumn="0" w:lastRowLastColumn="0"/>
              <w:rPr>
                <w:rFonts w:cs="Arial"/>
              </w:rPr>
            </w:pPr>
            <w:r w:rsidRPr="00FC5926">
              <w:rPr>
                <w:rFonts w:cs="Arial"/>
              </w:rPr>
              <w:t>Industry influences the development of the national training package</w:t>
            </w:r>
          </w:p>
        </w:tc>
      </w:tr>
      <w:tr w:rsidR="00183A94" w:rsidRPr="00FC5926" w14:paraId="586912B7" w14:textId="77777777" w:rsidTr="00183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shd w:val="clear" w:color="auto" w:fill="auto"/>
          </w:tcPr>
          <w:p w14:paraId="44EA5F6C" w14:textId="3B59F0BC" w:rsidR="001D08EC" w:rsidRPr="00FC5926" w:rsidRDefault="001D08EC" w:rsidP="00773542">
            <w:pPr>
              <w:pStyle w:val="TableText"/>
              <w:numPr>
                <w:ilvl w:val="0"/>
                <w:numId w:val="11"/>
              </w:numPr>
              <w:ind w:left="306" w:hanging="284"/>
              <w:rPr>
                <w:rFonts w:cs="Arial"/>
                <w:b w:val="0"/>
                <w:bCs w:val="0"/>
              </w:rPr>
            </w:pPr>
            <w:r w:rsidRPr="00FC5926">
              <w:rPr>
                <w:rFonts w:cs="Arial"/>
                <w:b w:val="0"/>
                <w:bCs w:val="0"/>
              </w:rPr>
              <w:lastRenderedPageBreak/>
              <w:t>Encourage close collaboration between industry and education providers / training organisations</w:t>
            </w:r>
          </w:p>
        </w:tc>
        <w:tc>
          <w:tcPr>
            <w:tcW w:w="182" w:type="pct"/>
            <w:tcBorders>
              <w:right w:val="nil"/>
            </w:tcBorders>
            <w:shd w:val="clear" w:color="auto" w:fill="auto"/>
          </w:tcPr>
          <w:p w14:paraId="2C9A9ED3" w14:textId="6CC299E1" w:rsidR="001D08EC" w:rsidRPr="00FC5926" w:rsidRDefault="001D08EC" w:rsidP="00F40474">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1</w:t>
            </w:r>
            <w:r w:rsidR="009C097B">
              <w:rPr>
                <w:rFonts w:cs="Arial"/>
              </w:rPr>
              <w:t>6</w:t>
            </w:r>
          </w:p>
        </w:tc>
        <w:tc>
          <w:tcPr>
            <w:tcW w:w="2367" w:type="pct"/>
            <w:tcBorders>
              <w:left w:val="nil"/>
            </w:tcBorders>
            <w:shd w:val="clear" w:color="auto" w:fill="auto"/>
          </w:tcPr>
          <w:p w14:paraId="6582E8A8" w14:textId="2B802201" w:rsidR="00B2530B" w:rsidRPr="00FC5926" w:rsidRDefault="00F9502A" w:rsidP="00B2530B">
            <w:pPr>
              <w:pStyle w:val="TableText"/>
              <w:cnfStyle w:val="000000100000" w:firstRow="0" w:lastRow="0" w:firstColumn="0" w:lastColumn="0" w:oddVBand="0" w:evenVBand="0" w:oddHBand="1" w:evenHBand="0" w:firstRowFirstColumn="0" w:firstRowLastColumn="0" w:lastRowFirstColumn="0" w:lastRowLastColumn="0"/>
            </w:pPr>
            <w:r>
              <w:rPr>
                <w:rFonts w:cs="Arial"/>
              </w:rPr>
              <w:t>Engage</w:t>
            </w:r>
            <w:r w:rsidR="001D08EC">
              <w:rPr>
                <w:rFonts w:cs="Arial"/>
              </w:rPr>
              <w:t xml:space="preserve"> with Tasmanian</w:t>
            </w:r>
            <w:r w:rsidR="001D08EC" w:rsidRPr="00FC5926">
              <w:rPr>
                <w:rFonts w:cs="Arial"/>
              </w:rPr>
              <w:t xml:space="preserve"> education providers / training organisations with the purpose of</w:t>
            </w:r>
            <w:r w:rsidR="001D08EC">
              <w:rPr>
                <w:rFonts w:cs="Arial"/>
              </w:rPr>
              <w:t xml:space="preserve"> </w:t>
            </w:r>
            <w:r w:rsidR="00BE2838">
              <w:rPr>
                <w:rFonts w:cs="Arial"/>
              </w:rPr>
              <w:t xml:space="preserve">ensuring training </w:t>
            </w:r>
            <w:r w:rsidR="001D08EC">
              <w:rPr>
                <w:rFonts w:cs="Arial"/>
              </w:rPr>
              <w:t>meet</w:t>
            </w:r>
            <w:r w:rsidR="00BE2838">
              <w:rPr>
                <w:rFonts w:cs="Arial"/>
              </w:rPr>
              <w:t>s industry</w:t>
            </w:r>
            <w:r w:rsidR="001D08EC">
              <w:rPr>
                <w:rFonts w:cs="Arial"/>
              </w:rPr>
              <w:t xml:space="preserve"> skill requirements.</w:t>
            </w:r>
            <w:r w:rsidR="00B2530B">
              <w:rPr>
                <w:rFonts w:cs="Arial"/>
              </w:rPr>
              <w:t xml:space="preserve">  </w:t>
            </w:r>
            <w:r w:rsidR="00B2530B" w:rsidRPr="00FC5926">
              <w:t>Th</w:t>
            </w:r>
            <w:r w:rsidR="00B2530B">
              <w:t>e skill requirements include both:</w:t>
            </w:r>
          </w:p>
          <w:p w14:paraId="6A245563" w14:textId="1F915CA1" w:rsidR="00B2530B" w:rsidRPr="00FC5926" w:rsidRDefault="00B2530B" w:rsidP="00E35E49">
            <w:pPr>
              <w:pStyle w:val="Tablelistbullet"/>
              <w:cnfStyle w:val="000000100000" w:firstRow="0" w:lastRow="0" w:firstColumn="0" w:lastColumn="0" w:oddVBand="0" w:evenVBand="0" w:oddHBand="1" w:evenHBand="0" w:firstRowFirstColumn="0" w:firstRowLastColumn="0" w:lastRowFirstColumn="0" w:lastRowLastColumn="0"/>
            </w:pPr>
            <w:r w:rsidRPr="00FC5926">
              <w:t>Hard skills</w:t>
            </w:r>
            <w:r>
              <w:t xml:space="preserve"> (e.g. </w:t>
            </w:r>
            <w:r w:rsidRPr="00FC5926">
              <w:t>utilisation of emerging digital technolog</w:t>
            </w:r>
            <w:r>
              <w:t>ies)</w:t>
            </w:r>
          </w:p>
          <w:p w14:paraId="0CCE7297" w14:textId="77777777" w:rsidR="00B2530B" w:rsidRPr="00652BB5" w:rsidRDefault="00B2530B" w:rsidP="00E35E49">
            <w:pPr>
              <w:pStyle w:val="Tablelistbullet"/>
              <w:cnfStyle w:val="000000100000" w:firstRow="0" w:lastRow="0" w:firstColumn="0" w:lastColumn="0" w:oddVBand="0" w:evenVBand="0" w:oddHBand="1" w:evenHBand="0" w:firstRowFirstColumn="0" w:firstRowLastColumn="0" w:lastRowFirstColumn="0" w:lastRowLastColumn="0"/>
              <w:rPr>
                <w:rFonts w:cs="Arial"/>
              </w:rPr>
            </w:pPr>
            <w:r w:rsidRPr="00FC5926">
              <w:t>Soft skills</w:t>
            </w:r>
            <w:r>
              <w:t xml:space="preserve"> (e.g. workplace </w:t>
            </w:r>
            <w:r w:rsidRPr="00FC5926">
              <w:t>leadership</w:t>
            </w:r>
            <w:r>
              <w:t>)</w:t>
            </w:r>
          </w:p>
          <w:p w14:paraId="2FE440E6" w14:textId="269B559F" w:rsidR="00B2530B" w:rsidRDefault="00B2530B" w:rsidP="00F40474">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The Workforce Development Group and education providers / training organisations should seek to:</w:t>
            </w:r>
          </w:p>
          <w:p w14:paraId="0DBD75CA" w14:textId="745B6D71" w:rsidR="00B2530B" w:rsidRDefault="00B2530B" w:rsidP="00E35E49">
            <w:pPr>
              <w:pStyle w:val="Tablelistbullet"/>
              <w:cnfStyle w:val="000000100000" w:firstRow="0" w:lastRow="0" w:firstColumn="0" w:lastColumn="0" w:oddVBand="0" w:evenVBand="0" w:oddHBand="1" w:evenHBand="0" w:firstRowFirstColumn="0" w:firstRowLastColumn="0" w:lastRowFirstColumn="0" w:lastRowLastColumn="0"/>
            </w:pPr>
            <w:r>
              <w:t xml:space="preserve">Improve </w:t>
            </w:r>
            <w:r w:rsidRPr="00FC5926">
              <w:t>training outcomes</w:t>
            </w:r>
            <w:r w:rsidR="00291656">
              <w:t xml:space="preserve"> </w:t>
            </w:r>
            <w:r w:rsidR="00B26614">
              <w:t>to ensure t</w:t>
            </w:r>
            <w:r w:rsidR="00291656">
              <w:t>he job read</w:t>
            </w:r>
            <w:r w:rsidR="00B26614">
              <w:t>iness of graduates</w:t>
            </w:r>
          </w:p>
          <w:p w14:paraId="34D80DA7" w14:textId="60BC01AD" w:rsidR="00B95984" w:rsidRPr="00B95984" w:rsidRDefault="00B95984" w:rsidP="00C02362">
            <w:pPr>
              <w:pStyle w:val="TableListBullet2"/>
              <w:cnfStyle w:val="000000100000" w:firstRow="0" w:lastRow="0" w:firstColumn="0" w:lastColumn="0" w:oddVBand="0" w:evenVBand="0" w:oddHBand="1" w:evenHBand="0" w:firstRowFirstColumn="0" w:firstRowLastColumn="0" w:lastRowFirstColumn="0" w:lastRowLastColumn="0"/>
            </w:pPr>
            <w:r>
              <w:t>Investigate opportunities to involve skilled and experience mining workers in the teaching and training process</w:t>
            </w:r>
          </w:p>
          <w:p w14:paraId="385C7849" w14:textId="7C763D93" w:rsidR="00B2530B" w:rsidRDefault="00B26614" w:rsidP="00E35E49">
            <w:pPr>
              <w:pStyle w:val="Tablelistbullet"/>
              <w:cnfStyle w:val="000000100000" w:firstRow="0" w:lastRow="0" w:firstColumn="0" w:lastColumn="0" w:oddVBand="0" w:evenVBand="0" w:oddHBand="1" w:evenHBand="0" w:firstRowFirstColumn="0" w:firstRowLastColumn="0" w:lastRowFirstColumn="0" w:lastRowLastColumn="0"/>
            </w:pPr>
            <w:r>
              <w:t>Improve the a</w:t>
            </w:r>
            <w:r w:rsidR="00B2530B" w:rsidRPr="00FC5926">
              <w:t xml:space="preserve">vailability </w:t>
            </w:r>
            <w:r>
              <w:t xml:space="preserve">and accessibility </w:t>
            </w:r>
            <w:r w:rsidR="00B2530B" w:rsidRPr="00FC5926">
              <w:t>of training</w:t>
            </w:r>
          </w:p>
          <w:p w14:paraId="5F251A59" w14:textId="37CE3723" w:rsidR="00652BB5" w:rsidRPr="00B95984" w:rsidRDefault="00B95984" w:rsidP="00C02362">
            <w:pPr>
              <w:pStyle w:val="TableListBullet2"/>
              <w:cnfStyle w:val="000000100000" w:firstRow="0" w:lastRow="0" w:firstColumn="0" w:lastColumn="0" w:oddVBand="0" w:evenVBand="0" w:oddHBand="1" w:evenHBand="0" w:firstRowFirstColumn="0" w:firstRowLastColumn="0" w:lastRowFirstColumn="0" w:lastRowLastColumn="0"/>
            </w:pPr>
            <w:r>
              <w:t>Review ways to reduce cost of training to both industry and training providers through standardisation</w:t>
            </w:r>
          </w:p>
          <w:p w14:paraId="4E7F614F" w14:textId="4477C18A" w:rsidR="00B2530B" w:rsidRDefault="00B26614" w:rsidP="00E35E49">
            <w:pPr>
              <w:pStyle w:val="Tablelistbullet"/>
              <w:cnfStyle w:val="000000100000" w:firstRow="0" w:lastRow="0" w:firstColumn="0" w:lastColumn="0" w:oddVBand="0" w:evenVBand="0" w:oddHBand="1" w:evenHBand="0" w:firstRowFirstColumn="0" w:firstRowLastColumn="0" w:lastRowFirstColumn="0" w:lastRowLastColumn="0"/>
            </w:pPr>
            <w:r>
              <w:t xml:space="preserve">Minimise the </w:t>
            </w:r>
            <w:r w:rsidR="00B2530B" w:rsidRPr="00FC5926">
              <w:t>skill gaps</w:t>
            </w:r>
            <w:r>
              <w:t xml:space="preserve"> of the current workforce</w:t>
            </w:r>
          </w:p>
          <w:p w14:paraId="4148A546" w14:textId="0F7FE446" w:rsidR="00B95984" w:rsidRPr="00AC7AC9" w:rsidRDefault="0029653F" w:rsidP="00C02362">
            <w:pPr>
              <w:pStyle w:val="TableListBullet2"/>
              <w:cnfStyle w:val="000000100000" w:firstRow="0" w:lastRow="0" w:firstColumn="0" w:lastColumn="0" w:oddVBand="0" w:evenVBand="0" w:oddHBand="1" w:evenHBand="0" w:firstRowFirstColumn="0" w:firstRowLastColumn="0" w:lastRowFirstColumn="0" w:lastRowLastColumn="0"/>
            </w:pPr>
            <w:r>
              <w:t xml:space="preserve">Review options of a regional pilot program to develop a course to meet common skill gaps, which would start with an audit of industry requirements </w:t>
            </w:r>
          </w:p>
          <w:p w14:paraId="67D9A631" w14:textId="77777777" w:rsidR="00C02362" w:rsidRDefault="00C02362" w:rsidP="00C02362">
            <w:pPr>
              <w:pStyle w:val="Tablelistbullet"/>
              <w:cnfStyle w:val="000000100000" w:firstRow="0" w:lastRow="0" w:firstColumn="0" w:lastColumn="0" w:oddVBand="0" w:evenVBand="0" w:oddHBand="1" w:evenHBand="0" w:firstRowFirstColumn="0" w:firstRowLastColumn="0" w:lastRowFirstColumn="0" w:lastRowLastColumn="0"/>
            </w:pPr>
            <w:r>
              <w:t>Ensure training will effectively meet emerging skill requirements</w:t>
            </w:r>
          </w:p>
          <w:p w14:paraId="6A1C93C3" w14:textId="23C994FF" w:rsidR="001D08EC" w:rsidRPr="007B2043" w:rsidRDefault="00C02362" w:rsidP="00C02362">
            <w:pPr>
              <w:pStyle w:val="TableListBullet2"/>
              <w:cnfStyle w:val="000000100000" w:firstRow="0" w:lastRow="0" w:firstColumn="0" w:lastColumn="0" w:oddVBand="0" w:evenVBand="0" w:oddHBand="1" w:evenHBand="0" w:firstRowFirstColumn="0" w:firstRowLastColumn="0" w:lastRowFirstColumn="0" w:lastRowLastColumn="0"/>
            </w:pPr>
            <w:r>
              <w:t>For example, examining the impact of Industry 4.0 and digital disruption</w:t>
            </w:r>
          </w:p>
        </w:tc>
        <w:tc>
          <w:tcPr>
            <w:tcW w:w="500" w:type="pct"/>
            <w:shd w:val="clear" w:color="auto" w:fill="auto"/>
          </w:tcPr>
          <w:p w14:paraId="6A95C798" w14:textId="77777777" w:rsidR="001D08EC" w:rsidRPr="00FC5926" w:rsidRDefault="001D08EC" w:rsidP="00C2711E">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Lead – Workforce Development Group</w:t>
            </w:r>
          </w:p>
          <w:p w14:paraId="3E7BD1DA" w14:textId="0F1710DA" w:rsidR="001D08EC" w:rsidRPr="00FC5926" w:rsidRDefault="001D08EC" w:rsidP="00C2711E">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Support – TMEC / Training providers</w:t>
            </w:r>
          </w:p>
        </w:tc>
        <w:tc>
          <w:tcPr>
            <w:tcW w:w="409" w:type="pct"/>
            <w:shd w:val="clear" w:color="auto" w:fill="auto"/>
          </w:tcPr>
          <w:p w14:paraId="44A2C447" w14:textId="6E9ECBB5" w:rsidR="001D08EC" w:rsidRPr="00FC5926" w:rsidRDefault="001D08EC" w:rsidP="00B56411">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color w:val="C00000"/>
              </w:rPr>
              <w:t>Immediate</w:t>
            </w:r>
          </w:p>
        </w:tc>
        <w:tc>
          <w:tcPr>
            <w:tcW w:w="680" w:type="pct"/>
            <w:shd w:val="clear" w:color="auto" w:fill="auto"/>
          </w:tcPr>
          <w:p w14:paraId="023C2521" w14:textId="6CCB0C46" w:rsidR="001D08EC" w:rsidRPr="00FC5926" w:rsidRDefault="001D08EC" w:rsidP="00B56411">
            <w:pPr>
              <w:pStyle w:val="TableText"/>
              <w:cnfStyle w:val="000000100000" w:firstRow="0" w:lastRow="0" w:firstColumn="0" w:lastColumn="0" w:oddVBand="0" w:evenVBand="0" w:oddHBand="1" w:evenHBand="0" w:firstRowFirstColumn="0" w:firstRowLastColumn="0" w:lastRowFirstColumn="0" w:lastRowLastColumn="0"/>
              <w:rPr>
                <w:rFonts w:cs="Arial"/>
              </w:rPr>
            </w:pPr>
            <w:r w:rsidRPr="00FC5926">
              <w:rPr>
                <w:rFonts w:cs="Arial"/>
              </w:rPr>
              <w:t>Training programs and their delivery reflect industry skill needs</w:t>
            </w:r>
          </w:p>
        </w:tc>
      </w:tr>
    </w:tbl>
    <w:p w14:paraId="0741E6ED" w14:textId="30499005" w:rsidR="00C0696B" w:rsidRPr="0029200E" w:rsidRDefault="00C0696B" w:rsidP="00B0391C">
      <w:pPr>
        <w:sectPr w:rsidR="00C0696B" w:rsidRPr="0029200E" w:rsidSect="000A7A28">
          <w:pgSz w:w="16838" w:h="11899" w:orient="landscape"/>
          <w:pgMar w:top="1134" w:right="1418" w:bottom="1134" w:left="567" w:header="567" w:footer="851" w:gutter="0"/>
          <w:cols w:space="708"/>
          <w:titlePg/>
          <w:docGrid w:linePitch="299"/>
        </w:sectPr>
      </w:pPr>
    </w:p>
    <w:p w14:paraId="15BEB8ED" w14:textId="3776FD9C" w:rsidR="000231D6" w:rsidRPr="004B5D56" w:rsidRDefault="00F7285C" w:rsidP="000231D6">
      <w:r w:rsidRPr="009E4426">
        <w:rPr>
          <w:noProof/>
          <w:lang w:val="en-GB" w:eastAsia="en-GB"/>
        </w:rPr>
        <w:lastRenderedPageBreak/>
        <mc:AlternateContent>
          <mc:Choice Requires="wpg">
            <w:drawing>
              <wp:anchor distT="0" distB="0" distL="114300" distR="114300" simplePos="0" relativeHeight="251663360" behindDoc="1" locked="0" layoutInCell="1" allowOverlap="1" wp14:anchorId="1243E79B" wp14:editId="0B728A67">
                <wp:simplePos x="0" y="0"/>
                <wp:positionH relativeFrom="column">
                  <wp:posOffset>-653415</wp:posOffset>
                </wp:positionH>
                <wp:positionV relativeFrom="paragraph">
                  <wp:posOffset>-824231</wp:posOffset>
                </wp:positionV>
                <wp:extent cx="7419975" cy="105251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7419975" cy="10525125"/>
                          <a:chOff x="0" y="0"/>
                          <a:chExt cx="6858000" cy="9144000"/>
                        </a:xfrm>
                      </wpg:grpSpPr>
                      <wps:wsp>
                        <wps:cNvPr id="9" name="Rectangle 9"/>
                        <wps:cNvSpPr/>
                        <wps:spPr>
                          <a:xfrm>
                            <a:off x="0" y="0"/>
                            <a:ext cx="6858000" cy="9144000"/>
                          </a:xfrm>
                          <a:prstGeom prst="rect">
                            <a:avLst/>
                          </a:prstGeom>
                          <a:gradFill>
                            <a:gsLst>
                              <a:gs pos="10000">
                                <a:schemeClr val="accent1"/>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48856AA7" w14:textId="77777777" w:rsidR="00F9502A" w:rsidRDefault="00F9502A" w:rsidP="00F7285C">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10" name="Group 2"/>
                        <wpg:cNvGrpSpPr/>
                        <wpg:grpSpPr>
                          <a:xfrm>
                            <a:off x="2524125" y="0"/>
                            <a:ext cx="4329113" cy="4491038"/>
                            <a:chOff x="0" y="0"/>
                            <a:chExt cx="4329113" cy="4491038"/>
                          </a:xfrm>
                          <a:solidFill>
                            <a:schemeClr val="bg1"/>
                          </a:solidFill>
                        </wpg:grpSpPr>
                        <wps:wsp>
                          <wps:cNvPr id="11"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243E79B" id="Group 8" o:spid="_x0000_s1036" style="position:absolute;margin-left:-51.45pt;margin-top:-64.9pt;width:584.25pt;height:828.75pt;z-index:-251653120;mso-width-relative:margin;mso-height-relative:margin"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">
                <v:rect id="Rectangle 9" o:spid="_x0000_s1037"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" fillcolor="#4472c4 [3204]" stroked="f" strokeweight="1pt">
                  <v:fill color2="#3d4b5f [2882]" angle="348" colors="0 #4472c4;6554f #4472c4" focus="100%" type="gradient"/>
                  <v:textbox inset="54pt,54pt,1in,5in">
                    <w:txbxContent>
                      <w:p w14:paraId="48856AA7" w14:textId="77777777" w:rsidR="00F9502A" w:rsidRDefault="00F9502A" w:rsidP="00F7285C">
                        <w:pPr>
                          <w:pStyle w:val="NoSpacing"/>
                          <w:rPr>
                            <w:color w:val="FFFFFF" w:themeColor="background1"/>
                            <w:sz w:val="48"/>
                            <w:szCs w:val="48"/>
                          </w:rPr>
                        </w:pPr>
                      </w:p>
                    </w:txbxContent>
                  </v:textbox>
                </v:rect>
                <v:group id="Group 2" o:spid="_x0000_s1038"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6" o:spid="_x0000_s1039"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" path="m4,1786l,1782,1776,r5,5l4,1786xe" filled="f" stroked="f">
                    <v:path arrowok="t" o:connecttype="custom" o:connectlocs="6350,2835275;0,2828925;2819400,0;2827338,7938;6350,2835275" o:connectangles="0,0,0,0,0"/>
                  </v:shape>
                  <v:shape id="Freeform 57" o:spid="_x0000_s1040"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" path="m5,2234l,2229,2229,r5,5l5,2234xe" filled="f" stroked="f">
                    <v:path arrowok="t" o:connecttype="custom" o:connectlocs="7938,3546475;0,3538538;3538538,0;3546475,7938;7938,3546475" o:connectangles="0,0,0,0,0"/>
                  </v:shape>
                  <v:shape id="Freeform 58" o:spid="_x0000_s1041"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42"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" path="m9,1966l,1957,1952,r9,9l9,1966xe" filled="f" stroked="f">
                    <v:path arrowok="t" o:connecttype="custom" o:connectlocs="14288,3121025;0,3106738;3098800,0;3113088,14288;14288,3121025" o:connectangles="0,0,0,0,0"/>
                  </v:shape>
                  <v:shape id="Freeform 60" o:spid="_x0000_s1043"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" path="m,2732r,-4l2722,r5,5l,2732xe" filled="f" stroked="f">
                    <v:path arrowok="t" o:connecttype="custom" o:connectlocs="0,4337050;0,4330700;4321175,0;4329113,7938;0,4337050" o:connectangles="0,0,0,0,0"/>
                  </v:shape>
                </v:group>
              </v:group>
            </w:pict>
          </mc:Fallback>
        </mc:AlternateContent>
      </w:r>
    </w:p>
    <w:sectPr w:rsidR="000231D6" w:rsidRPr="004B5D56" w:rsidSect="00BC42C6">
      <w:pgSz w:w="11899" w:h="16838"/>
      <w:pgMar w:top="1418" w:right="1134" w:bottom="567" w:left="1134" w:header="567" w:footer="85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2B25" w14:textId="77777777" w:rsidR="00F9502A" w:rsidRDefault="00F9502A" w:rsidP="00260389">
      <w:r>
        <w:separator/>
      </w:r>
    </w:p>
  </w:endnote>
  <w:endnote w:type="continuationSeparator" w:id="0">
    <w:p w14:paraId="20427FAE" w14:textId="77777777" w:rsidR="00F9502A" w:rsidRDefault="00F9502A" w:rsidP="0026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62765599"/>
      <w:docPartObj>
        <w:docPartGallery w:val="Page Numbers (Bottom of Page)"/>
        <w:docPartUnique/>
      </w:docPartObj>
    </w:sdtPr>
    <w:sdtEndPr>
      <w:rPr>
        <w:noProof/>
      </w:rPr>
    </w:sdtEndPr>
    <w:sdtContent>
      <w:p w14:paraId="22F19D40" w14:textId="77777777" w:rsidR="00F9502A" w:rsidRPr="006015A3" w:rsidRDefault="00F9502A" w:rsidP="004E434E">
        <w:pPr>
          <w:pStyle w:val="Footer"/>
        </w:pPr>
        <w:r>
          <w:rPr>
            <w:noProof w:val="0"/>
          </w:rPr>
          <w:fldChar w:fldCharType="begin"/>
        </w:r>
        <w:r>
          <w:instrText xml:space="preserve"> PAGE   \* MERGEFORMAT </w:instrText>
        </w:r>
        <w:r>
          <w:rPr>
            <w:noProof w:val="0"/>
          </w:rPr>
          <w:fldChar w:fldCharType="separate"/>
        </w:r>
        <w: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80948518"/>
      <w:docPartObj>
        <w:docPartGallery w:val="Page Numbers (Bottom of Page)"/>
        <w:docPartUnique/>
      </w:docPartObj>
    </w:sdtPr>
    <w:sdtEndPr>
      <w:rPr>
        <w:noProof/>
      </w:rPr>
    </w:sdtEndPr>
    <w:sdtContent>
      <w:p w14:paraId="2EA40C79" w14:textId="77777777" w:rsidR="00F9502A" w:rsidRPr="006015A3" w:rsidRDefault="00F9502A" w:rsidP="00260389">
        <w:pPr>
          <w:pStyle w:val="Footer"/>
        </w:pPr>
        <w:r>
          <w:rPr>
            <w:noProof w:val="0"/>
          </w:rPr>
          <w:fldChar w:fldCharType="begin"/>
        </w:r>
        <w:r>
          <w:instrText xml:space="preserve"> PAGE   \* MERGEFORMAT </w:instrText>
        </w:r>
        <w:r>
          <w:rPr>
            <w:noProof w:val="0"/>
          </w:rPr>
          <w:fldChar w:fldCharType="separate"/>
        </w:r>
        <w: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90FB" w14:textId="77777777" w:rsidR="00F9502A" w:rsidRDefault="00F9502A" w:rsidP="00260389">
      <w:r>
        <w:separator/>
      </w:r>
    </w:p>
  </w:footnote>
  <w:footnote w:type="continuationSeparator" w:id="0">
    <w:p w14:paraId="2CA09C50" w14:textId="77777777" w:rsidR="00F9502A" w:rsidRDefault="00F9502A" w:rsidP="00260389">
      <w:r>
        <w:continuationSeparator/>
      </w:r>
    </w:p>
  </w:footnote>
  <w:footnote w:id="1">
    <w:p w14:paraId="53473583" w14:textId="77777777" w:rsidR="00F9502A" w:rsidRPr="0063022F" w:rsidRDefault="00F9502A" w:rsidP="0062569C">
      <w:pPr>
        <w:pStyle w:val="FootnoteText"/>
        <w:rPr>
          <w:lang w:val="en-US"/>
        </w:rPr>
      </w:pPr>
      <w:r>
        <w:rPr>
          <w:rStyle w:val="FootnoteReference"/>
        </w:rPr>
        <w:footnoteRef/>
      </w:r>
      <w:r>
        <w:tab/>
      </w:r>
      <w:r w:rsidRPr="0063022F">
        <w:rPr>
          <w:i/>
          <w:iCs/>
        </w:rPr>
        <w:t>Tasmanian Mining Industry Workforce Profile and Emerging Challenges</w:t>
      </w:r>
      <w:r>
        <w:t xml:space="preserve">, TMEC,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0D18" w14:textId="1740AD13" w:rsidR="00F9502A" w:rsidRDefault="00F9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6FA3" w14:textId="273C7650" w:rsidR="00F9502A" w:rsidRDefault="00F95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B3A1" w14:textId="66B05F30" w:rsidR="00F9502A" w:rsidRDefault="00F9502A" w:rsidP="00DC3300">
    <w:pPr>
      <w:pStyle w:val="ListBullet"/>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8D60EA8"/>
    <w:lvl w:ilvl="0">
      <w:start w:val="1"/>
      <w:numFmt w:val="lowerRoman"/>
      <w:pStyle w:val="ListNumber3"/>
      <w:lvlText w:val="%1."/>
      <w:lvlJc w:val="left"/>
      <w:pPr>
        <w:ind w:left="414" w:hanging="360"/>
      </w:pPr>
      <w:rPr>
        <w:rFonts w:hint="default"/>
      </w:rPr>
    </w:lvl>
  </w:abstractNum>
  <w:abstractNum w:abstractNumId="1" w15:restartNumberingAfterBreak="0">
    <w:nsid w:val="FFFFFF88"/>
    <w:multiLevelType w:val="singleLevel"/>
    <w:tmpl w:val="E014FE70"/>
    <w:lvl w:ilvl="0">
      <w:start w:val="1"/>
      <w:numFmt w:val="decimal"/>
      <w:pStyle w:val="Tablelistnumber"/>
      <w:lvlText w:val="%1."/>
      <w:lvlJc w:val="left"/>
      <w:pPr>
        <w:tabs>
          <w:tab w:val="num" w:pos="360"/>
        </w:tabs>
        <w:ind w:left="360" w:hanging="360"/>
      </w:pPr>
      <w:rPr>
        <w:rFonts w:hint="default"/>
        <w:b w:val="0"/>
        <w:bCs w:val="0"/>
        <w:sz w:val="20"/>
        <w:szCs w:val="20"/>
      </w:rPr>
    </w:lvl>
  </w:abstractNum>
  <w:abstractNum w:abstractNumId="2" w15:restartNumberingAfterBreak="0">
    <w:nsid w:val="04637BB8"/>
    <w:multiLevelType w:val="hybridMultilevel"/>
    <w:tmpl w:val="5740C600"/>
    <w:lvl w:ilvl="0" w:tplc="91A6F4B4">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D0351"/>
    <w:multiLevelType w:val="hybridMultilevel"/>
    <w:tmpl w:val="0A001820"/>
    <w:lvl w:ilvl="0" w:tplc="0C090001">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05D7C"/>
    <w:multiLevelType w:val="hybridMultilevel"/>
    <w:tmpl w:val="23B412EA"/>
    <w:lvl w:ilvl="0" w:tplc="F14ED80A">
      <w:start w:val="1"/>
      <w:numFmt w:val="bullet"/>
      <w:pStyle w:val="TWLBullets"/>
      <w:lvlText w:val=""/>
      <w:lvlJc w:val="left"/>
      <w:pPr>
        <w:tabs>
          <w:tab w:val="num" w:pos="360"/>
        </w:tabs>
        <w:ind w:left="340" w:hanging="340"/>
      </w:pPr>
      <w:rPr>
        <w:rFonts w:ascii="Symbol" w:hAnsi="Symbol" w:hint="default"/>
      </w:rPr>
    </w:lvl>
    <w:lvl w:ilvl="1" w:tplc="2136787A">
      <w:start w:val="1"/>
      <w:numFmt w:val="bullet"/>
      <w:pStyle w:val="TableListBullet2"/>
      <w:lvlText w:val="-"/>
      <w:lvlJc w:val="left"/>
      <w:pPr>
        <w:tabs>
          <w:tab w:val="num" w:pos="1440"/>
        </w:tabs>
        <w:ind w:left="1440" w:hanging="360"/>
      </w:pPr>
      <w:rPr>
        <w:rFonts w:ascii="Courier New" w:hAnsi="Courier New" w:hint="default"/>
      </w:rPr>
    </w:lvl>
    <w:lvl w:ilvl="2" w:tplc="7846B0B8" w:tentative="1">
      <w:start w:val="1"/>
      <w:numFmt w:val="bullet"/>
      <w:lvlText w:val=""/>
      <w:lvlJc w:val="left"/>
      <w:pPr>
        <w:tabs>
          <w:tab w:val="num" w:pos="2160"/>
        </w:tabs>
        <w:ind w:left="2160" w:hanging="360"/>
      </w:pPr>
      <w:rPr>
        <w:rFonts w:ascii="Wingdings" w:hAnsi="Wingdings" w:hint="default"/>
      </w:rPr>
    </w:lvl>
    <w:lvl w:ilvl="3" w:tplc="18467546" w:tentative="1">
      <w:start w:val="1"/>
      <w:numFmt w:val="bullet"/>
      <w:lvlText w:val=""/>
      <w:lvlJc w:val="left"/>
      <w:pPr>
        <w:tabs>
          <w:tab w:val="num" w:pos="2880"/>
        </w:tabs>
        <w:ind w:left="2880" w:hanging="360"/>
      </w:pPr>
      <w:rPr>
        <w:rFonts w:ascii="Symbol" w:hAnsi="Symbol" w:hint="default"/>
      </w:rPr>
    </w:lvl>
    <w:lvl w:ilvl="4" w:tplc="8E943504" w:tentative="1">
      <w:start w:val="1"/>
      <w:numFmt w:val="bullet"/>
      <w:lvlText w:val="o"/>
      <w:lvlJc w:val="left"/>
      <w:pPr>
        <w:tabs>
          <w:tab w:val="num" w:pos="3600"/>
        </w:tabs>
        <w:ind w:left="3600" w:hanging="360"/>
      </w:pPr>
      <w:rPr>
        <w:rFonts w:ascii="Courier New" w:hAnsi="Courier New" w:hint="default"/>
      </w:rPr>
    </w:lvl>
    <w:lvl w:ilvl="5" w:tplc="3D74DB7E" w:tentative="1">
      <w:start w:val="1"/>
      <w:numFmt w:val="bullet"/>
      <w:lvlText w:val=""/>
      <w:lvlJc w:val="left"/>
      <w:pPr>
        <w:tabs>
          <w:tab w:val="num" w:pos="4320"/>
        </w:tabs>
        <w:ind w:left="4320" w:hanging="360"/>
      </w:pPr>
      <w:rPr>
        <w:rFonts w:ascii="Wingdings" w:hAnsi="Wingdings" w:hint="default"/>
      </w:rPr>
    </w:lvl>
    <w:lvl w:ilvl="6" w:tplc="21CA9F1C" w:tentative="1">
      <w:start w:val="1"/>
      <w:numFmt w:val="bullet"/>
      <w:lvlText w:val=""/>
      <w:lvlJc w:val="left"/>
      <w:pPr>
        <w:tabs>
          <w:tab w:val="num" w:pos="5040"/>
        </w:tabs>
        <w:ind w:left="5040" w:hanging="360"/>
      </w:pPr>
      <w:rPr>
        <w:rFonts w:ascii="Symbol" w:hAnsi="Symbol" w:hint="default"/>
      </w:rPr>
    </w:lvl>
    <w:lvl w:ilvl="7" w:tplc="8DDEDFC8" w:tentative="1">
      <w:start w:val="1"/>
      <w:numFmt w:val="bullet"/>
      <w:lvlText w:val="o"/>
      <w:lvlJc w:val="left"/>
      <w:pPr>
        <w:tabs>
          <w:tab w:val="num" w:pos="5760"/>
        </w:tabs>
        <w:ind w:left="5760" w:hanging="360"/>
      </w:pPr>
      <w:rPr>
        <w:rFonts w:ascii="Courier New" w:hAnsi="Courier New" w:hint="default"/>
      </w:rPr>
    </w:lvl>
    <w:lvl w:ilvl="8" w:tplc="B32068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9443A"/>
    <w:multiLevelType w:val="hybridMultilevel"/>
    <w:tmpl w:val="89B2DB8E"/>
    <w:lvl w:ilvl="0" w:tplc="9520861E">
      <w:start w:val="1"/>
      <w:numFmt w:val="bullet"/>
      <w:pStyle w:val="Tablelistbullet"/>
      <w:lvlText w:val=""/>
      <w:lvlJc w:val="left"/>
      <w:pPr>
        <w:tabs>
          <w:tab w:val="num" w:pos="360"/>
        </w:tabs>
        <w:ind w:left="360" w:hanging="360"/>
      </w:pPr>
      <w:rPr>
        <w:rFonts w:ascii="Symbol" w:hAnsi="Symbol" w:hint="default"/>
        <w:color w:val="auto"/>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15:restartNumberingAfterBreak="0">
    <w:nsid w:val="138A4D8F"/>
    <w:multiLevelType w:val="hybridMultilevel"/>
    <w:tmpl w:val="2B8CEF06"/>
    <w:lvl w:ilvl="0" w:tplc="5D108844">
      <w:start w:val="1"/>
      <w:numFmt w:val="bullet"/>
      <w:pStyle w:val="ListBullet2"/>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15:restartNumberingAfterBreak="0">
    <w:nsid w:val="51FC0277"/>
    <w:multiLevelType w:val="hybridMultilevel"/>
    <w:tmpl w:val="C430FBD6"/>
    <w:lvl w:ilvl="0" w:tplc="EA205274">
      <w:start w:val="1"/>
      <w:numFmt w:val="lowerLetter"/>
      <w:pStyle w:val="ListNumber2"/>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5CEC0ECB"/>
    <w:multiLevelType w:val="multilevel"/>
    <w:tmpl w:val="1AC8EC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1AC48AF"/>
    <w:multiLevelType w:val="hybridMultilevel"/>
    <w:tmpl w:val="2CCAD0E4"/>
    <w:lvl w:ilvl="0" w:tplc="335CB2DE">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822D11"/>
    <w:multiLevelType w:val="hybridMultilevel"/>
    <w:tmpl w:val="97A64788"/>
    <w:lvl w:ilvl="0" w:tplc="7B20E566">
      <w:start w:val="1"/>
      <w:numFmt w:val="bullet"/>
      <w:pStyle w:val="ListBullet3"/>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num w:numId="1">
    <w:abstractNumId w:val="6"/>
  </w:num>
  <w:num w:numId="2">
    <w:abstractNumId w:val="10"/>
  </w:num>
  <w:num w:numId="3">
    <w:abstractNumId w:val="1"/>
  </w:num>
  <w:num w:numId="4">
    <w:abstractNumId w:val="7"/>
  </w:num>
  <w:num w:numId="5">
    <w:abstractNumId w:val="0"/>
  </w:num>
  <w:num w:numId="6">
    <w:abstractNumId w:val="8"/>
  </w:num>
  <w:num w:numId="7">
    <w:abstractNumId w:val="3"/>
  </w:num>
  <w:num w:numId="8">
    <w:abstractNumId w:val="4"/>
  </w:num>
  <w:num w:numId="9">
    <w:abstractNumId w:val="5"/>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E6"/>
    <w:rsid w:val="00001FA0"/>
    <w:rsid w:val="00005662"/>
    <w:rsid w:val="00005BB9"/>
    <w:rsid w:val="000100B5"/>
    <w:rsid w:val="00010D6C"/>
    <w:rsid w:val="00012675"/>
    <w:rsid w:val="00013A69"/>
    <w:rsid w:val="00016077"/>
    <w:rsid w:val="00016591"/>
    <w:rsid w:val="00016DC9"/>
    <w:rsid w:val="00022261"/>
    <w:rsid w:val="000231D6"/>
    <w:rsid w:val="000237FE"/>
    <w:rsid w:val="0002475A"/>
    <w:rsid w:val="00027BDA"/>
    <w:rsid w:val="00030054"/>
    <w:rsid w:val="00032549"/>
    <w:rsid w:val="00033BE5"/>
    <w:rsid w:val="00034095"/>
    <w:rsid w:val="00040536"/>
    <w:rsid w:val="00040EA2"/>
    <w:rsid w:val="00044B7C"/>
    <w:rsid w:val="00046AE5"/>
    <w:rsid w:val="000501DB"/>
    <w:rsid w:val="00052F92"/>
    <w:rsid w:val="0005385F"/>
    <w:rsid w:val="00054792"/>
    <w:rsid w:val="00054AAD"/>
    <w:rsid w:val="00056043"/>
    <w:rsid w:val="00060306"/>
    <w:rsid w:val="000607B8"/>
    <w:rsid w:val="00060BA9"/>
    <w:rsid w:val="00062780"/>
    <w:rsid w:val="00064BD9"/>
    <w:rsid w:val="00065F0F"/>
    <w:rsid w:val="00066C5A"/>
    <w:rsid w:val="00071885"/>
    <w:rsid w:val="00071966"/>
    <w:rsid w:val="0007293C"/>
    <w:rsid w:val="0007417C"/>
    <w:rsid w:val="00074ED2"/>
    <w:rsid w:val="00076C07"/>
    <w:rsid w:val="00080AC9"/>
    <w:rsid w:val="000814DC"/>
    <w:rsid w:val="00084F83"/>
    <w:rsid w:val="00086375"/>
    <w:rsid w:val="0008725B"/>
    <w:rsid w:val="000931DB"/>
    <w:rsid w:val="000941D8"/>
    <w:rsid w:val="00094A9A"/>
    <w:rsid w:val="000957B2"/>
    <w:rsid w:val="00096C14"/>
    <w:rsid w:val="00097590"/>
    <w:rsid w:val="00097B78"/>
    <w:rsid w:val="000A09D2"/>
    <w:rsid w:val="000A27A0"/>
    <w:rsid w:val="000A3917"/>
    <w:rsid w:val="000A47C5"/>
    <w:rsid w:val="000A49B8"/>
    <w:rsid w:val="000A7917"/>
    <w:rsid w:val="000A7A28"/>
    <w:rsid w:val="000B132C"/>
    <w:rsid w:val="000B4400"/>
    <w:rsid w:val="000B4AAA"/>
    <w:rsid w:val="000B4C9E"/>
    <w:rsid w:val="000B4CCA"/>
    <w:rsid w:val="000B534C"/>
    <w:rsid w:val="000B5B1F"/>
    <w:rsid w:val="000B6199"/>
    <w:rsid w:val="000B7B16"/>
    <w:rsid w:val="000B7EF1"/>
    <w:rsid w:val="000C3F81"/>
    <w:rsid w:val="000C479F"/>
    <w:rsid w:val="000D1BAD"/>
    <w:rsid w:val="000D3639"/>
    <w:rsid w:val="000D5870"/>
    <w:rsid w:val="000D5A23"/>
    <w:rsid w:val="000D62AB"/>
    <w:rsid w:val="000E070A"/>
    <w:rsid w:val="000E09D7"/>
    <w:rsid w:val="000E0D82"/>
    <w:rsid w:val="000E31DA"/>
    <w:rsid w:val="000E63AC"/>
    <w:rsid w:val="000E6D18"/>
    <w:rsid w:val="000E7E59"/>
    <w:rsid w:val="000E7F9B"/>
    <w:rsid w:val="000F0A5F"/>
    <w:rsid w:val="000F0F3D"/>
    <w:rsid w:val="001005D3"/>
    <w:rsid w:val="00101BBB"/>
    <w:rsid w:val="00101C0F"/>
    <w:rsid w:val="00103B65"/>
    <w:rsid w:val="001111C6"/>
    <w:rsid w:val="00114929"/>
    <w:rsid w:val="001150E2"/>
    <w:rsid w:val="001171A2"/>
    <w:rsid w:val="001207DC"/>
    <w:rsid w:val="00123EBC"/>
    <w:rsid w:val="00126C5C"/>
    <w:rsid w:val="001300F0"/>
    <w:rsid w:val="0013025E"/>
    <w:rsid w:val="0013029C"/>
    <w:rsid w:val="001303CE"/>
    <w:rsid w:val="00136EC1"/>
    <w:rsid w:val="00137D5F"/>
    <w:rsid w:val="00141620"/>
    <w:rsid w:val="00141FE4"/>
    <w:rsid w:val="0014285D"/>
    <w:rsid w:val="00143156"/>
    <w:rsid w:val="001454A7"/>
    <w:rsid w:val="001459B0"/>
    <w:rsid w:val="00145A25"/>
    <w:rsid w:val="001470E9"/>
    <w:rsid w:val="00154660"/>
    <w:rsid w:val="001551A5"/>
    <w:rsid w:val="00160B1A"/>
    <w:rsid w:val="00160FB0"/>
    <w:rsid w:val="00161253"/>
    <w:rsid w:val="00164574"/>
    <w:rsid w:val="001652D1"/>
    <w:rsid w:val="001672C8"/>
    <w:rsid w:val="00167E88"/>
    <w:rsid w:val="00177C76"/>
    <w:rsid w:val="00177D76"/>
    <w:rsid w:val="001801B1"/>
    <w:rsid w:val="00180D7F"/>
    <w:rsid w:val="00183A94"/>
    <w:rsid w:val="00185227"/>
    <w:rsid w:val="00185460"/>
    <w:rsid w:val="00192072"/>
    <w:rsid w:val="001925FE"/>
    <w:rsid w:val="001942C7"/>
    <w:rsid w:val="001958B7"/>
    <w:rsid w:val="00195B39"/>
    <w:rsid w:val="00197532"/>
    <w:rsid w:val="00197C4C"/>
    <w:rsid w:val="001A13AC"/>
    <w:rsid w:val="001A34AF"/>
    <w:rsid w:val="001A371D"/>
    <w:rsid w:val="001A3B44"/>
    <w:rsid w:val="001A5CC8"/>
    <w:rsid w:val="001A6EDE"/>
    <w:rsid w:val="001A713E"/>
    <w:rsid w:val="001B19A9"/>
    <w:rsid w:val="001B235F"/>
    <w:rsid w:val="001B5E9F"/>
    <w:rsid w:val="001C1353"/>
    <w:rsid w:val="001C260D"/>
    <w:rsid w:val="001C3D93"/>
    <w:rsid w:val="001C3E84"/>
    <w:rsid w:val="001C4C05"/>
    <w:rsid w:val="001C4D22"/>
    <w:rsid w:val="001C6727"/>
    <w:rsid w:val="001C7EC2"/>
    <w:rsid w:val="001D08EC"/>
    <w:rsid w:val="001D1963"/>
    <w:rsid w:val="001D5F76"/>
    <w:rsid w:val="001D6355"/>
    <w:rsid w:val="001E0BFF"/>
    <w:rsid w:val="001E0D78"/>
    <w:rsid w:val="001E170F"/>
    <w:rsid w:val="001E2872"/>
    <w:rsid w:val="001E394E"/>
    <w:rsid w:val="001F0AC4"/>
    <w:rsid w:val="001F231D"/>
    <w:rsid w:val="001F3FDA"/>
    <w:rsid w:val="001F50C6"/>
    <w:rsid w:val="00201013"/>
    <w:rsid w:val="002019ED"/>
    <w:rsid w:val="00202139"/>
    <w:rsid w:val="00206FD5"/>
    <w:rsid w:val="00215514"/>
    <w:rsid w:val="002178B4"/>
    <w:rsid w:val="00217BD2"/>
    <w:rsid w:val="00220871"/>
    <w:rsid w:val="00221AB1"/>
    <w:rsid w:val="00224294"/>
    <w:rsid w:val="00225C62"/>
    <w:rsid w:val="00226299"/>
    <w:rsid w:val="00227E1A"/>
    <w:rsid w:val="00233DB3"/>
    <w:rsid w:val="00234D83"/>
    <w:rsid w:val="00237E33"/>
    <w:rsid w:val="00240525"/>
    <w:rsid w:val="00240B5F"/>
    <w:rsid w:val="00240C14"/>
    <w:rsid w:val="00241CA8"/>
    <w:rsid w:val="00243C61"/>
    <w:rsid w:val="002462E0"/>
    <w:rsid w:val="00247940"/>
    <w:rsid w:val="0025003D"/>
    <w:rsid w:val="0025010D"/>
    <w:rsid w:val="00253B4A"/>
    <w:rsid w:val="00254E07"/>
    <w:rsid w:val="002562BF"/>
    <w:rsid w:val="00257DAC"/>
    <w:rsid w:val="00260389"/>
    <w:rsid w:val="002612E7"/>
    <w:rsid w:val="002619A7"/>
    <w:rsid w:val="002625EA"/>
    <w:rsid w:val="00263403"/>
    <w:rsid w:val="00267072"/>
    <w:rsid w:val="00272376"/>
    <w:rsid w:val="00273436"/>
    <w:rsid w:val="00276BC1"/>
    <w:rsid w:val="00281207"/>
    <w:rsid w:val="00282EE8"/>
    <w:rsid w:val="002834A6"/>
    <w:rsid w:val="00283C4D"/>
    <w:rsid w:val="00286486"/>
    <w:rsid w:val="00286BA5"/>
    <w:rsid w:val="00290379"/>
    <w:rsid w:val="00291656"/>
    <w:rsid w:val="0029200E"/>
    <w:rsid w:val="00292D5B"/>
    <w:rsid w:val="00293897"/>
    <w:rsid w:val="00293C2F"/>
    <w:rsid w:val="00294091"/>
    <w:rsid w:val="00294D76"/>
    <w:rsid w:val="002956FC"/>
    <w:rsid w:val="0029653F"/>
    <w:rsid w:val="002A43BA"/>
    <w:rsid w:val="002A5CED"/>
    <w:rsid w:val="002A6053"/>
    <w:rsid w:val="002A7225"/>
    <w:rsid w:val="002A7CAB"/>
    <w:rsid w:val="002B3F11"/>
    <w:rsid w:val="002B6D17"/>
    <w:rsid w:val="002C026C"/>
    <w:rsid w:val="002C1FCA"/>
    <w:rsid w:val="002C21F7"/>
    <w:rsid w:val="002C7E1C"/>
    <w:rsid w:val="002D1DA2"/>
    <w:rsid w:val="002D7310"/>
    <w:rsid w:val="002E0794"/>
    <w:rsid w:val="002E1702"/>
    <w:rsid w:val="002E23CB"/>
    <w:rsid w:val="002E2AA1"/>
    <w:rsid w:val="002E2B49"/>
    <w:rsid w:val="002E4467"/>
    <w:rsid w:val="002F103F"/>
    <w:rsid w:val="002F5868"/>
    <w:rsid w:val="002F63AE"/>
    <w:rsid w:val="002F6D7F"/>
    <w:rsid w:val="00302496"/>
    <w:rsid w:val="003025B5"/>
    <w:rsid w:val="003047FC"/>
    <w:rsid w:val="00305AD5"/>
    <w:rsid w:val="00307EA9"/>
    <w:rsid w:val="00311ABB"/>
    <w:rsid w:val="00312133"/>
    <w:rsid w:val="00313473"/>
    <w:rsid w:val="00313D4E"/>
    <w:rsid w:val="00315210"/>
    <w:rsid w:val="00320762"/>
    <w:rsid w:val="00321AFC"/>
    <w:rsid w:val="00322561"/>
    <w:rsid w:val="0032532B"/>
    <w:rsid w:val="00330785"/>
    <w:rsid w:val="003329BC"/>
    <w:rsid w:val="00332D47"/>
    <w:rsid w:val="00332EE8"/>
    <w:rsid w:val="003349F3"/>
    <w:rsid w:val="0034322F"/>
    <w:rsid w:val="00343583"/>
    <w:rsid w:val="0034437F"/>
    <w:rsid w:val="003451EA"/>
    <w:rsid w:val="00347290"/>
    <w:rsid w:val="00350368"/>
    <w:rsid w:val="003503EE"/>
    <w:rsid w:val="003511C9"/>
    <w:rsid w:val="003517FB"/>
    <w:rsid w:val="003546F3"/>
    <w:rsid w:val="00354E84"/>
    <w:rsid w:val="0035655D"/>
    <w:rsid w:val="00356A8B"/>
    <w:rsid w:val="00360830"/>
    <w:rsid w:val="00360D2C"/>
    <w:rsid w:val="00361530"/>
    <w:rsid w:val="003618B0"/>
    <w:rsid w:val="00362CC6"/>
    <w:rsid w:val="0036417A"/>
    <w:rsid w:val="00370FBE"/>
    <w:rsid w:val="00371095"/>
    <w:rsid w:val="00371979"/>
    <w:rsid w:val="00371B88"/>
    <w:rsid w:val="00372F69"/>
    <w:rsid w:val="00376A93"/>
    <w:rsid w:val="003779DE"/>
    <w:rsid w:val="00377C89"/>
    <w:rsid w:val="00380407"/>
    <w:rsid w:val="00383F8A"/>
    <w:rsid w:val="0038494D"/>
    <w:rsid w:val="003926ED"/>
    <w:rsid w:val="00392BAC"/>
    <w:rsid w:val="003935BF"/>
    <w:rsid w:val="003965D4"/>
    <w:rsid w:val="00396E57"/>
    <w:rsid w:val="003A04A3"/>
    <w:rsid w:val="003A7526"/>
    <w:rsid w:val="003B1E5E"/>
    <w:rsid w:val="003B23A2"/>
    <w:rsid w:val="003B2611"/>
    <w:rsid w:val="003B48E8"/>
    <w:rsid w:val="003B4AF1"/>
    <w:rsid w:val="003B57B4"/>
    <w:rsid w:val="003B59E8"/>
    <w:rsid w:val="003B5FC6"/>
    <w:rsid w:val="003C0869"/>
    <w:rsid w:val="003C1A02"/>
    <w:rsid w:val="003C3D1C"/>
    <w:rsid w:val="003D0228"/>
    <w:rsid w:val="003D0D7D"/>
    <w:rsid w:val="003D4C44"/>
    <w:rsid w:val="003D6259"/>
    <w:rsid w:val="003D7989"/>
    <w:rsid w:val="003E01E5"/>
    <w:rsid w:val="003E5114"/>
    <w:rsid w:val="003E5AB9"/>
    <w:rsid w:val="003E5DFE"/>
    <w:rsid w:val="003F06C4"/>
    <w:rsid w:val="003F0D29"/>
    <w:rsid w:val="003F3B00"/>
    <w:rsid w:val="003F3CE9"/>
    <w:rsid w:val="003F3DFC"/>
    <w:rsid w:val="00402BED"/>
    <w:rsid w:val="0040647E"/>
    <w:rsid w:val="004064B0"/>
    <w:rsid w:val="00406887"/>
    <w:rsid w:val="004111D3"/>
    <w:rsid w:val="004121B2"/>
    <w:rsid w:val="00413713"/>
    <w:rsid w:val="00413A6A"/>
    <w:rsid w:val="004155C0"/>
    <w:rsid w:val="0041612F"/>
    <w:rsid w:val="00416302"/>
    <w:rsid w:val="00421396"/>
    <w:rsid w:val="00422D11"/>
    <w:rsid w:val="0042345C"/>
    <w:rsid w:val="0042398B"/>
    <w:rsid w:val="0042399B"/>
    <w:rsid w:val="00423AC1"/>
    <w:rsid w:val="00424A78"/>
    <w:rsid w:val="004258E3"/>
    <w:rsid w:val="004277A4"/>
    <w:rsid w:val="0043415A"/>
    <w:rsid w:val="004417E7"/>
    <w:rsid w:val="00441B70"/>
    <w:rsid w:val="00442E64"/>
    <w:rsid w:val="00443B4C"/>
    <w:rsid w:val="00445087"/>
    <w:rsid w:val="00446835"/>
    <w:rsid w:val="00446EC6"/>
    <w:rsid w:val="0045094A"/>
    <w:rsid w:val="0045252C"/>
    <w:rsid w:val="00454381"/>
    <w:rsid w:val="00454DA9"/>
    <w:rsid w:val="00456456"/>
    <w:rsid w:val="0045696C"/>
    <w:rsid w:val="00460645"/>
    <w:rsid w:val="004611DE"/>
    <w:rsid w:val="004656E8"/>
    <w:rsid w:val="00470E37"/>
    <w:rsid w:val="00471F65"/>
    <w:rsid w:val="004722B5"/>
    <w:rsid w:val="00473837"/>
    <w:rsid w:val="00473A40"/>
    <w:rsid w:val="00477B5E"/>
    <w:rsid w:val="00480364"/>
    <w:rsid w:val="00480419"/>
    <w:rsid w:val="004813B5"/>
    <w:rsid w:val="00481DC7"/>
    <w:rsid w:val="00482E6F"/>
    <w:rsid w:val="004837F4"/>
    <w:rsid w:val="004839FB"/>
    <w:rsid w:val="0048508A"/>
    <w:rsid w:val="004920BB"/>
    <w:rsid w:val="004939B3"/>
    <w:rsid w:val="00495114"/>
    <w:rsid w:val="0049679B"/>
    <w:rsid w:val="00496D38"/>
    <w:rsid w:val="004A2B34"/>
    <w:rsid w:val="004A4009"/>
    <w:rsid w:val="004A5D2B"/>
    <w:rsid w:val="004A646C"/>
    <w:rsid w:val="004A6D0E"/>
    <w:rsid w:val="004A6F46"/>
    <w:rsid w:val="004A79E9"/>
    <w:rsid w:val="004B3BCC"/>
    <w:rsid w:val="004B5D56"/>
    <w:rsid w:val="004B611D"/>
    <w:rsid w:val="004C1397"/>
    <w:rsid w:val="004C2E72"/>
    <w:rsid w:val="004C39DA"/>
    <w:rsid w:val="004C542B"/>
    <w:rsid w:val="004C67EA"/>
    <w:rsid w:val="004C7B39"/>
    <w:rsid w:val="004D013E"/>
    <w:rsid w:val="004D0672"/>
    <w:rsid w:val="004D1A51"/>
    <w:rsid w:val="004D204D"/>
    <w:rsid w:val="004D270F"/>
    <w:rsid w:val="004D3360"/>
    <w:rsid w:val="004D383E"/>
    <w:rsid w:val="004D51CA"/>
    <w:rsid w:val="004D5BEA"/>
    <w:rsid w:val="004D6DAD"/>
    <w:rsid w:val="004D7F76"/>
    <w:rsid w:val="004E1965"/>
    <w:rsid w:val="004E434E"/>
    <w:rsid w:val="004E6191"/>
    <w:rsid w:val="004E6D41"/>
    <w:rsid w:val="004F04A3"/>
    <w:rsid w:val="004F1782"/>
    <w:rsid w:val="004F1DD0"/>
    <w:rsid w:val="004F4E67"/>
    <w:rsid w:val="004F7E99"/>
    <w:rsid w:val="0050244C"/>
    <w:rsid w:val="005028FD"/>
    <w:rsid w:val="00504523"/>
    <w:rsid w:val="00504867"/>
    <w:rsid w:val="005074E0"/>
    <w:rsid w:val="00513351"/>
    <w:rsid w:val="00516FE9"/>
    <w:rsid w:val="005171C5"/>
    <w:rsid w:val="00526004"/>
    <w:rsid w:val="005310FD"/>
    <w:rsid w:val="005348D5"/>
    <w:rsid w:val="00536E0E"/>
    <w:rsid w:val="005372A1"/>
    <w:rsid w:val="0054011A"/>
    <w:rsid w:val="005404E2"/>
    <w:rsid w:val="00542500"/>
    <w:rsid w:val="005425B6"/>
    <w:rsid w:val="00542F3F"/>
    <w:rsid w:val="00544388"/>
    <w:rsid w:val="005473AE"/>
    <w:rsid w:val="005479C5"/>
    <w:rsid w:val="00552D9A"/>
    <w:rsid w:val="005534DC"/>
    <w:rsid w:val="00554C4C"/>
    <w:rsid w:val="00556FAD"/>
    <w:rsid w:val="005629A6"/>
    <w:rsid w:val="0056328D"/>
    <w:rsid w:val="00565211"/>
    <w:rsid w:val="00565785"/>
    <w:rsid w:val="005716D7"/>
    <w:rsid w:val="0057287E"/>
    <w:rsid w:val="005729B5"/>
    <w:rsid w:val="00573D95"/>
    <w:rsid w:val="005741AA"/>
    <w:rsid w:val="00574DC1"/>
    <w:rsid w:val="0057545A"/>
    <w:rsid w:val="00575A46"/>
    <w:rsid w:val="00576227"/>
    <w:rsid w:val="005768CC"/>
    <w:rsid w:val="00576989"/>
    <w:rsid w:val="0057727D"/>
    <w:rsid w:val="00580FD1"/>
    <w:rsid w:val="00583EF5"/>
    <w:rsid w:val="005844C1"/>
    <w:rsid w:val="00585039"/>
    <w:rsid w:val="00597A14"/>
    <w:rsid w:val="005A05BB"/>
    <w:rsid w:val="005A0AB6"/>
    <w:rsid w:val="005A3EAE"/>
    <w:rsid w:val="005A7E8A"/>
    <w:rsid w:val="005B13E2"/>
    <w:rsid w:val="005B5463"/>
    <w:rsid w:val="005C0795"/>
    <w:rsid w:val="005C5389"/>
    <w:rsid w:val="005C68F0"/>
    <w:rsid w:val="005D12FE"/>
    <w:rsid w:val="005D3F2C"/>
    <w:rsid w:val="005D48A7"/>
    <w:rsid w:val="005D5F84"/>
    <w:rsid w:val="005D613A"/>
    <w:rsid w:val="005D7416"/>
    <w:rsid w:val="005E091C"/>
    <w:rsid w:val="005E176E"/>
    <w:rsid w:val="005E2556"/>
    <w:rsid w:val="005E2E0B"/>
    <w:rsid w:val="005E310A"/>
    <w:rsid w:val="005E3CED"/>
    <w:rsid w:val="005F5211"/>
    <w:rsid w:val="005F6FE2"/>
    <w:rsid w:val="00601104"/>
    <w:rsid w:val="006015A3"/>
    <w:rsid w:val="00602AE5"/>
    <w:rsid w:val="00603FF1"/>
    <w:rsid w:val="00605604"/>
    <w:rsid w:val="006062FC"/>
    <w:rsid w:val="00607131"/>
    <w:rsid w:val="006112F2"/>
    <w:rsid w:val="00612F79"/>
    <w:rsid w:val="00613033"/>
    <w:rsid w:val="00614550"/>
    <w:rsid w:val="006158E7"/>
    <w:rsid w:val="00616316"/>
    <w:rsid w:val="00616B9C"/>
    <w:rsid w:val="006178B5"/>
    <w:rsid w:val="00617C0E"/>
    <w:rsid w:val="00620EB0"/>
    <w:rsid w:val="00622106"/>
    <w:rsid w:val="00624217"/>
    <w:rsid w:val="0062569C"/>
    <w:rsid w:val="0063022F"/>
    <w:rsid w:val="00631DF5"/>
    <w:rsid w:val="006344B7"/>
    <w:rsid w:val="006366CF"/>
    <w:rsid w:val="00637CBB"/>
    <w:rsid w:val="00637D2A"/>
    <w:rsid w:val="006505B2"/>
    <w:rsid w:val="00650BF3"/>
    <w:rsid w:val="00652BB5"/>
    <w:rsid w:val="006534E2"/>
    <w:rsid w:val="00656738"/>
    <w:rsid w:val="006579DD"/>
    <w:rsid w:val="0066350F"/>
    <w:rsid w:val="00663D2C"/>
    <w:rsid w:val="0066433C"/>
    <w:rsid w:val="006665EB"/>
    <w:rsid w:val="00666669"/>
    <w:rsid w:val="006666DD"/>
    <w:rsid w:val="00672393"/>
    <w:rsid w:val="006738A7"/>
    <w:rsid w:val="00673939"/>
    <w:rsid w:val="0067478C"/>
    <w:rsid w:val="00675E94"/>
    <w:rsid w:val="00680352"/>
    <w:rsid w:val="00683E40"/>
    <w:rsid w:val="006856DE"/>
    <w:rsid w:val="006861D7"/>
    <w:rsid w:val="00686D4B"/>
    <w:rsid w:val="0068779B"/>
    <w:rsid w:val="0069570D"/>
    <w:rsid w:val="006962E1"/>
    <w:rsid w:val="006964C9"/>
    <w:rsid w:val="00696AF3"/>
    <w:rsid w:val="00697E27"/>
    <w:rsid w:val="006A0024"/>
    <w:rsid w:val="006A17C6"/>
    <w:rsid w:val="006A26F6"/>
    <w:rsid w:val="006A2BC6"/>
    <w:rsid w:val="006A552F"/>
    <w:rsid w:val="006A645C"/>
    <w:rsid w:val="006B03F7"/>
    <w:rsid w:val="006B177B"/>
    <w:rsid w:val="006B190B"/>
    <w:rsid w:val="006B2554"/>
    <w:rsid w:val="006B3A71"/>
    <w:rsid w:val="006B3C3B"/>
    <w:rsid w:val="006B5B0D"/>
    <w:rsid w:val="006B6698"/>
    <w:rsid w:val="006B69A4"/>
    <w:rsid w:val="006C1F76"/>
    <w:rsid w:val="006C22F3"/>
    <w:rsid w:val="006C2584"/>
    <w:rsid w:val="006C2F28"/>
    <w:rsid w:val="006D063A"/>
    <w:rsid w:val="006D08D3"/>
    <w:rsid w:val="006D0F15"/>
    <w:rsid w:val="006D6875"/>
    <w:rsid w:val="006D727A"/>
    <w:rsid w:val="006E07BB"/>
    <w:rsid w:val="006E1665"/>
    <w:rsid w:val="006E2C9B"/>
    <w:rsid w:val="006E37E8"/>
    <w:rsid w:val="006E75A1"/>
    <w:rsid w:val="006E7D6D"/>
    <w:rsid w:val="006F123A"/>
    <w:rsid w:val="006F1453"/>
    <w:rsid w:val="006F2A60"/>
    <w:rsid w:val="006F4EDA"/>
    <w:rsid w:val="006F6C5F"/>
    <w:rsid w:val="006F7368"/>
    <w:rsid w:val="00704CBF"/>
    <w:rsid w:val="00706053"/>
    <w:rsid w:val="00712DD4"/>
    <w:rsid w:val="00713397"/>
    <w:rsid w:val="007149A1"/>
    <w:rsid w:val="00715FC9"/>
    <w:rsid w:val="00716DF5"/>
    <w:rsid w:val="00717010"/>
    <w:rsid w:val="00717255"/>
    <w:rsid w:val="00720191"/>
    <w:rsid w:val="007203C3"/>
    <w:rsid w:val="00720747"/>
    <w:rsid w:val="00721C9A"/>
    <w:rsid w:val="00726B3A"/>
    <w:rsid w:val="007303C1"/>
    <w:rsid w:val="007306CD"/>
    <w:rsid w:val="00732F1F"/>
    <w:rsid w:val="007364DE"/>
    <w:rsid w:val="0073655A"/>
    <w:rsid w:val="00737A90"/>
    <w:rsid w:val="00740213"/>
    <w:rsid w:val="007435EE"/>
    <w:rsid w:val="00745201"/>
    <w:rsid w:val="00746207"/>
    <w:rsid w:val="00747CFE"/>
    <w:rsid w:val="00747FC5"/>
    <w:rsid w:val="00751D80"/>
    <w:rsid w:val="0075421A"/>
    <w:rsid w:val="00756274"/>
    <w:rsid w:val="00756F4C"/>
    <w:rsid w:val="00757830"/>
    <w:rsid w:val="00764D4F"/>
    <w:rsid w:val="00764FD6"/>
    <w:rsid w:val="00767FD1"/>
    <w:rsid w:val="0077041E"/>
    <w:rsid w:val="00773542"/>
    <w:rsid w:val="00773878"/>
    <w:rsid w:val="00775254"/>
    <w:rsid w:val="00775F04"/>
    <w:rsid w:val="00776426"/>
    <w:rsid w:val="007775D1"/>
    <w:rsid w:val="00783D12"/>
    <w:rsid w:val="0078593B"/>
    <w:rsid w:val="00786614"/>
    <w:rsid w:val="0078671B"/>
    <w:rsid w:val="00790FF6"/>
    <w:rsid w:val="00791493"/>
    <w:rsid w:val="007938B6"/>
    <w:rsid w:val="00793B24"/>
    <w:rsid w:val="00795196"/>
    <w:rsid w:val="00795C3A"/>
    <w:rsid w:val="00795CF3"/>
    <w:rsid w:val="007A01BF"/>
    <w:rsid w:val="007A0634"/>
    <w:rsid w:val="007A0DE2"/>
    <w:rsid w:val="007A1805"/>
    <w:rsid w:val="007A38D2"/>
    <w:rsid w:val="007A40C6"/>
    <w:rsid w:val="007A5B37"/>
    <w:rsid w:val="007A6CBF"/>
    <w:rsid w:val="007A6DED"/>
    <w:rsid w:val="007A7480"/>
    <w:rsid w:val="007B2043"/>
    <w:rsid w:val="007B26AE"/>
    <w:rsid w:val="007B2D14"/>
    <w:rsid w:val="007B313A"/>
    <w:rsid w:val="007B59AC"/>
    <w:rsid w:val="007B5A36"/>
    <w:rsid w:val="007B7895"/>
    <w:rsid w:val="007C01F7"/>
    <w:rsid w:val="007C0477"/>
    <w:rsid w:val="007C19C7"/>
    <w:rsid w:val="007C230E"/>
    <w:rsid w:val="007C2AC9"/>
    <w:rsid w:val="007C47FF"/>
    <w:rsid w:val="007C494E"/>
    <w:rsid w:val="007C7A08"/>
    <w:rsid w:val="007D1475"/>
    <w:rsid w:val="007D2B06"/>
    <w:rsid w:val="007D402C"/>
    <w:rsid w:val="007D68E4"/>
    <w:rsid w:val="007E3B8A"/>
    <w:rsid w:val="007E4287"/>
    <w:rsid w:val="007E6B06"/>
    <w:rsid w:val="007E729A"/>
    <w:rsid w:val="007F1207"/>
    <w:rsid w:val="007F4469"/>
    <w:rsid w:val="007F4BF4"/>
    <w:rsid w:val="007F53FD"/>
    <w:rsid w:val="007F6C0A"/>
    <w:rsid w:val="007F7B49"/>
    <w:rsid w:val="008006F5"/>
    <w:rsid w:val="0080145E"/>
    <w:rsid w:val="00801A3E"/>
    <w:rsid w:val="00804B99"/>
    <w:rsid w:val="00804D58"/>
    <w:rsid w:val="00805C4D"/>
    <w:rsid w:val="00807878"/>
    <w:rsid w:val="00815338"/>
    <w:rsid w:val="008154B2"/>
    <w:rsid w:val="00815D81"/>
    <w:rsid w:val="00821D7C"/>
    <w:rsid w:val="00823F6A"/>
    <w:rsid w:val="008248E6"/>
    <w:rsid w:val="00825CB6"/>
    <w:rsid w:val="00827BAD"/>
    <w:rsid w:val="00831228"/>
    <w:rsid w:val="00831FEA"/>
    <w:rsid w:val="008335DD"/>
    <w:rsid w:val="00834AE0"/>
    <w:rsid w:val="00834C83"/>
    <w:rsid w:val="00836A56"/>
    <w:rsid w:val="00841226"/>
    <w:rsid w:val="00843534"/>
    <w:rsid w:val="00845A45"/>
    <w:rsid w:val="0085166C"/>
    <w:rsid w:val="00854A0C"/>
    <w:rsid w:val="00854CC0"/>
    <w:rsid w:val="00856CDB"/>
    <w:rsid w:val="00857A9A"/>
    <w:rsid w:val="00860A69"/>
    <w:rsid w:val="0086165C"/>
    <w:rsid w:val="00861949"/>
    <w:rsid w:val="00863ABB"/>
    <w:rsid w:val="00864D86"/>
    <w:rsid w:val="00865194"/>
    <w:rsid w:val="00865B26"/>
    <w:rsid w:val="00866409"/>
    <w:rsid w:val="008670E9"/>
    <w:rsid w:val="00871F23"/>
    <w:rsid w:val="00872805"/>
    <w:rsid w:val="008733F3"/>
    <w:rsid w:val="00880EA0"/>
    <w:rsid w:val="00882294"/>
    <w:rsid w:val="00882CC5"/>
    <w:rsid w:val="008834AD"/>
    <w:rsid w:val="0088462A"/>
    <w:rsid w:val="008868F2"/>
    <w:rsid w:val="00886A95"/>
    <w:rsid w:val="0089014E"/>
    <w:rsid w:val="008904F3"/>
    <w:rsid w:val="00890EFF"/>
    <w:rsid w:val="008914F9"/>
    <w:rsid w:val="008918AC"/>
    <w:rsid w:val="008919DD"/>
    <w:rsid w:val="00896072"/>
    <w:rsid w:val="00896F1B"/>
    <w:rsid w:val="008A2B1A"/>
    <w:rsid w:val="008A3881"/>
    <w:rsid w:val="008A3898"/>
    <w:rsid w:val="008A703F"/>
    <w:rsid w:val="008B017E"/>
    <w:rsid w:val="008B024F"/>
    <w:rsid w:val="008B2757"/>
    <w:rsid w:val="008B39F7"/>
    <w:rsid w:val="008B64C2"/>
    <w:rsid w:val="008B7857"/>
    <w:rsid w:val="008B7A65"/>
    <w:rsid w:val="008B7D23"/>
    <w:rsid w:val="008C30AA"/>
    <w:rsid w:val="008C42C0"/>
    <w:rsid w:val="008C5CF3"/>
    <w:rsid w:val="008C706D"/>
    <w:rsid w:val="008D374B"/>
    <w:rsid w:val="008D4315"/>
    <w:rsid w:val="008D51F8"/>
    <w:rsid w:val="008D7AB5"/>
    <w:rsid w:val="008D7B40"/>
    <w:rsid w:val="008D7CAE"/>
    <w:rsid w:val="008E1ABE"/>
    <w:rsid w:val="008E2861"/>
    <w:rsid w:val="008E47EF"/>
    <w:rsid w:val="008E59E0"/>
    <w:rsid w:val="008E751C"/>
    <w:rsid w:val="008E7D49"/>
    <w:rsid w:val="008E7FF5"/>
    <w:rsid w:val="008F06CF"/>
    <w:rsid w:val="008F468F"/>
    <w:rsid w:val="008F49F2"/>
    <w:rsid w:val="008F78D2"/>
    <w:rsid w:val="009022CF"/>
    <w:rsid w:val="00903431"/>
    <w:rsid w:val="00904D59"/>
    <w:rsid w:val="00904E29"/>
    <w:rsid w:val="00905086"/>
    <w:rsid w:val="00905F96"/>
    <w:rsid w:val="00910B11"/>
    <w:rsid w:val="00911AAD"/>
    <w:rsid w:val="00921910"/>
    <w:rsid w:val="009269E6"/>
    <w:rsid w:val="00930A67"/>
    <w:rsid w:val="00931C96"/>
    <w:rsid w:val="00932A9C"/>
    <w:rsid w:val="00933334"/>
    <w:rsid w:val="009337D4"/>
    <w:rsid w:val="0093381E"/>
    <w:rsid w:val="00933B00"/>
    <w:rsid w:val="00936DFE"/>
    <w:rsid w:val="0093718B"/>
    <w:rsid w:val="00937EBB"/>
    <w:rsid w:val="0094142D"/>
    <w:rsid w:val="0094394F"/>
    <w:rsid w:val="009442F0"/>
    <w:rsid w:val="009449FC"/>
    <w:rsid w:val="00945395"/>
    <w:rsid w:val="009501EC"/>
    <w:rsid w:val="009505DE"/>
    <w:rsid w:val="00950742"/>
    <w:rsid w:val="00950812"/>
    <w:rsid w:val="009518DB"/>
    <w:rsid w:val="00951D89"/>
    <w:rsid w:val="00953A1A"/>
    <w:rsid w:val="00954E16"/>
    <w:rsid w:val="009564DF"/>
    <w:rsid w:val="0096041A"/>
    <w:rsid w:val="00960B11"/>
    <w:rsid w:val="00960F1D"/>
    <w:rsid w:val="00962DC5"/>
    <w:rsid w:val="009646C5"/>
    <w:rsid w:val="00964D3A"/>
    <w:rsid w:val="00965986"/>
    <w:rsid w:val="009674AB"/>
    <w:rsid w:val="00967ADF"/>
    <w:rsid w:val="00967D13"/>
    <w:rsid w:val="009701D8"/>
    <w:rsid w:val="009705C2"/>
    <w:rsid w:val="00970B2E"/>
    <w:rsid w:val="00971970"/>
    <w:rsid w:val="0097294E"/>
    <w:rsid w:val="00972E5A"/>
    <w:rsid w:val="0097713D"/>
    <w:rsid w:val="009778DF"/>
    <w:rsid w:val="00977A26"/>
    <w:rsid w:val="0098142C"/>
    <w:rsid w:val="00981DE2"/>
    <w:rsid w:val="00983ECD"/>
    <w:rsid w:val="00987248"/>
    <w:rsid w:val="00987603"/>
    <w:rsid w:val="0098794F"/>
    <w:rsid w:val="00993BE5"/>
    <w:rsid w:val="00993E3E"/>
    <w:rsid w:val="00995C02"/>
    <w:rsid w:val="00995D22"/>
    <w:rsid w:val="0099601F"/>
    <w:rsid w:val="009977AE"/>
    <w:rsid w:val="00997E6C"/>
    <w:rsid w:val="009A001D"/>
    <w:rsid w:val="009A031A"/>
    <w:rsid w:val="009A037A"/>
    <w:rsid w:val="009A2FBE"/>
    <w:rsid w:val="009A5BC9"/>
    <w:rsid w:val="009A7322"/>
    <w:rsid w:val="009A78D7"/>
    <w:rsid w:val="009B3573"/>
    <w:rsid w:val="009B4322"/>
    <w:rsid w:val="009B4327"/>
    <w:rsid w:val="009B5304"/>
    <w:rsid w:val="009B63BA"/>
    <w:rsid w:val="009B6801"/>
    <w:rsid w:val="009B6E28"/>
    <w:rsid w:val="009B74D8"/>
    <w:rsid w:val="009C097B"/>
    <w:rsid w:val="009C15AE"/>
    <w:rsid w:val="009C2C34"/>
    <w:rsid w:val="009C54B3"/>
    <w:rsid w:val="009C6745"/>
    <w:rsid w:val="009D0696"/>
    <w:rsid w:val="009D09C2"/>
    <w:rsid w:val="009D15E9"/>
    <w:rsid w:val="009D2148"/>
    <w:rsid w:val="009D493A"/>
    <w:rsid w:val="009D66EE"/>
    <w:rsid w:val="009D6842"/>
    <w:rsid w:val="009D7F34"/>
    <w:rsid w:val="009E4426"/>
    <w:rsid w:val="009E46B0"/>
    <w:rsid w:val="009E5C51"/>
    <w:rsid w:val="009E6508"/>
    <w:rsid w:val="009E680E"/>
    <w:rsid w:val="009F03F7"/>
    <w:rsid w:val="009F0BF2"/>
    <w:rsid w:val="00A07416"/>
    <w:rsid w:val="00A10588"/>
    <w:rsid w:val="00A121B6"/>
    <w:rsid w:val="00A1286C"/>
    <w:rsid w:val="00A17338"/>
    <w:rsid w:val="00A178B5"/>
    <w:rsid w:val="00A20AB2"/>
    <w:rsid w:val="00A20C89"/>
    <w:rsid w:val="00A22541"/>
    <w:rsid w:val="00A240FE"/>
    <w:rsid w:val="00A26480"/>
    <w:rsid w:val="00A26A45"/>
    <w:rsid w:val="00A2705D"/>
    <w:rsid w:val="00A30BAC"/>
    <w:rsid w:val="00A31768"/>
    <w:rsid w:val="00A31D76"/>
    <w:rsid w:val="00A322F3"/>
    <w:rsid w:val="00A326DA"/>
    <w:rsid w:val="00A3413B"/>
    <w:rsid w:val="00A34633"/>
    <w:rsid w:val="00A35E79"/>
    <w:rsid w:val="00A40659"/>
    <w:rsid w:val="00A40F2F"/>
    <w:rsid w:val="00A410E4"/>
    <w:rsid w:val="00A4286C"/>
    <w:rsid w:val="00A42AA4"/>
    <w:rsid w:val="00A43774"/>
    <w:rsid w:val="00A45A6A"/>
    <w:rsid w:val="00A473AA"/>
    <w:rsid w:val="00A5293E"/>
    <w:rsid w:val="00A55BAC"/>
    <w:rsid w:val="00A57710"/>
    <w:rsid w:val="00A60E70"/>
    <w:rsid w:val="00A60EC7"/>
    <w:rsid w:val="00A62A7D"/>
    <w:rsid w:val="00A6489A"/>
    <w:rsid w:val="00A64B76"/>
    <w:rsid w:val="00A65F53"/>
    <w:rsid w:val="00A663CD"/>
    <w:rsid w:val="00A67DC4"/>
    <w:rsid w:val="00A7014E"/>
    <w:rsid w:val="00A7203B"/>
    <w:rsid w:val="00A7212D"/>
    <w:rsid w:val="00A72FA5"/>
    <w:rsid w:val="00A74093"/>
    <w:rsid w:val="00A753D6"/>
    <w:rsid w:val="00A7696D"/>
    <w:rsid w:val="00A807A5"/>
    <w:rsid w:val="00A815CD"/>
    <w:rsid w:val="00A83340"/>
    <w:rsid w:val="00A849AF"/>
    <w:rsid w:val="00A860DD"/>
    <w:rsid w:val="00A862AD"/>
    <w:rsid w:val="00A86444"/>
    <w:rsid w:val="00A87BF2"/>
    <w:rsid w:val="00A900C0"/>
    <w:rsid w:val="00A91FCB"/>
    <w:rsid w:val="00A929BC"/>
    <w:rsid w:val="00A954CC"/>
    <w:rsid w:val="00A961BF"/>
    <w:rsid w:val="00AA1067"/>
    <w:rsid w:val="00AA219B"/>
    <w:rsid w:val="00AA27BA"/>
    <w:rsid w:val="00AA2C6C"/>
    <w:rsid w:val="00AA2CF4"/>
    <w:rsid w:val="00AA34EF"/>
    <w:rsid w:val="00AA52A7"/>
    <w:rsid w:val="00AA7BAB"/>
    <w:rsid w:val="00AB220D"/>
    <w:rsid w:val="00AB2E40"/>
    <w:rsid w:val="00AB3B0C"/>
    <w:rsid w:val="00AB3C7F"/>
    <w:rsid w:val="00AB47C7"/>
    <w:rsid w:val="00AB64F5"/>
    <w:rsid w:val="00AC06E6"/>
    <w:rsid w:val="00AC30F7"/>
    <w:rsid w:val="00AC37CD"/>
    <w:rsid w:val="00AC546E"/>
    <w:rsid w:val="00AC5B1D"/>
    <w:rsid w:val="00AC63B6"/>
    <w:rsid w:val="00AC7AC9"/>
    <w:rsid w:val="00AD194B"/>
    <w:rsid w:val="00AD1987"/>
    <w:rsid w:val="00AD1A2C"/>
    <w:rsid w:val="00AD2220"/>
    <w:rsid w:val="00AD3983"/>
    <w:rsid w:val="00AD52D3"/>
    <w:rsid w:val="00AE036A"/>
    <w:rsid w:val="00AE09EA"/>
    <w:rsid w:val="00AE4014"/>
    <w:rsid w:val="00AE6A61"/>
    <w:rsid w:val="00AE7CE1"/>
    <w:rsid w:val="00AF15B1"/>
    <w:rsid w:val="00AF3882"/>
    <w:rsid w:val="00B022E3"/>
    <w:rsid w:val="00B0391C"/>
    <w:rsid w:val="00B0451E"/>
    <w:rsid w:val="00B0574F"/>
    <w:rsid w:val="00B1052F"/>
    <w:rsid w:val="00B11218"/>
    <w:rsid w:val="00B113C7"/>
    <w:rsid w:val="00B12467"/>
    <w:rsid w:val="00B1296B"/>
    <w:rsid w:val="00B13795"/>
    <w:rsid w:val="00B13C3A"/>
    <w:rsid w:val="00B16842"/>
    <w:rsid w:val="00B16EFF"/>
    <w:rsid w:val="00B17DE0"/>
    <w:rsid w:val="00B17FC7"/>
    <w:rsid w:val="00B233A9"/>
    <w:rsid w:val="00B2454C"/>
    <w:rsid w:val="00B2530B"/>
    <w:rsid w:val="00B2634F"/>
    <w:rsid w:val="00B26536"/>
    <w:rsid w:val="00B26614"/>
    <w:rsid w:val="00B30AEB"/>
    <w:rsid w:val="00B333E9"/>
    <w:rsid w:val="00B33C72"/>
    <w:rsid w:val="00B40767"/>
    <w:rsid w:val="00B4151F"/>
    <w:rsid w:val="00B415E8"/>
    <w:rsid w:val="00B4523E"/>
    <w:rsid w:val="00B45545"/>
    <w:rsid w:val="00B464BB"/>
    <w:rsid w:val="00B47839"/>
    <w:rsid w:val="00B53D64"/>
    <w:rsid w:val="00B53D84"/>
    <w:rsid w:val="00B53FDE"/>
    <w:rsid w:val="00B54318"/>
    <w:rsid w:val="00B56411"/>
    <w:rsid w:val="00B56F5D"/>
    <w:rsid w:val="00B621C1"/>
    <w:rsid w:val="00B63EE3"/>
    <w:rsid w:val="00B64F71"/>
    <w:rsid w:val="00B6519B"/>
    <w:rsid w:val="00B67038"/>
    <w:rsid w:val="00B678A9"/>
    <w:rsid w:val="00B701D4"/>
    <w:rsid w:val="00B70665"/>
    <w:rsid w:val="00B725E5"/>
    <w:rsid w:val="00B73E77"/>
    <w:rsid w:val="00B74688"/>
    <w:rsid w:val="00B7516E"/>
    <w:rsid w:val="00B76DB4"/>
    <w:rsid w:val="00B76EB7"/>
    <w:rsid w:val="00B77D49"/>
    <w:rsid w:val="00B8137D"/>
    <w:rsid w:val="00B82812"/>
    <w:rsid w:val="00B828F9"/>
    <w:rsid w:val="00B838CB"/>
    <w:rsid w:val="00B83933"/>
    <w:rsid w:val="00B844D6"/>
    <w:rsid w:val="00B87736"/>
    <w:rsid w:val="00B87F77"/>
    <w:rsid w:val="00B9081B"/>
    <w:rsid w:val="00B914CB"/>
    <w:rsid w:val="00B941D7"/>
    <w:rsid w:val="00B9507E"/>
    <w:rsid w:val="00B95984"/>
    <w:rsid w:val="00B96506"/>
    <w:rsid w:val="00BA1061"/>
    <w:rsid w:val="00BA128A"/>
    <w:rsid w:val="00BA21C4"/>
    <w:rsid w:val="00BA38C4"/>
    <w:rsid w:val="00BA398E"/>
    <w:rsid w:val="00BA39CA"/>
    <w:rsid w:val="00BA3B4C"/>
    <w:rsid w:val="00BA707F"/>
    <w:rsid w:val="00BA7D4D"/>
    <w:rsid w:val="00BA7DC7"/>
    <w:rsid w:val="00BB0782"/>
    <w:rsid w:val="00BB1508"/>
    <w:rsid w:val="00BB27BF"/>
    <w:rsid w:val="00BB3C74"/>
    <w:rsid w:val="00BB636E"/>
    <w:rsid w:val="00BB7F64"/>
    <w:rsid w:val="00BC31CE"/>
    <w:rsid w:val="00BC3953"/>
    <w:rsid w:val="00BC42C6"/>
    <w:rsid w:val="00BC4806"/>
    <w:rsid w:val="00BC6697"/>
    <w:rsid w:val="00BC6DF4"/>
    <w:rsid w:val="00BD39D4"/>
    <w:rsid w:val="00BD3EAC"/>
    <w:rsid w:val="00BD72A6"/>
    <w:rsid w:val="00BD7D7D"/>
    <w:rsid w:val="00BE2111"/>
    <w:rsid w:val="00BE2838"/>
    <w:rsid w:val="00BE4290"/>
    <w:rsid w:val="00BE448F"/>
    <w:rsid w:val="00BE6D61"/>
    <w:rsid w:val="00BE7772"/>
    <w:rsid w:val="00BE7CFE"/>
    <w:rsid w:val="00BF1223"/>
    <w:rsid w:val="00BF368C"/>
    <w:rsid w:val="00BF4183"/>
    <w:rsid w:val="00BF45B7"/>
    <w:rsid w:val="00BF553B"/>
    <w:rsid w:val="00C02362"/>
    <w:rsid w:val="00C052D9"/>
    <w:rsid w:val="00C05D2A"/>
    <w:rsid w:val="00C0696B"/>
    <w:rsid w:val="00C06E16"/>
    <w:rsid w:val="00C07234"/>
    <w:rsid w:val="00C11393"/>
    <w:rsid w:val="00C1489E"/>
    <w:rsid w:val="00C14D41"/>
    <w:rsid w:val="00C1797D"/>
    <w:rsid w:val="00C2711E"/>
    <w:rsid w:val="00C313C8"/>
    <w:rsid w:val="00C32058"/>
    <w:rsid w:val="00C32813"/>
    <w:rsid w:val="00C336A1"/>
    <w:rsid w:val="00C358C4"/>
    <w:rsid w:val="00C35CC4"/>
    <w:rsid w:val="00C409BB"/>
    <w:rsid w:val="00C410D4"/>
    <w:rsid w:val="00C41AA2"/>
    <w:rsid w:val="00C43F55"/>
    <w:rsid w:val="00C44CC3"/>
    <w:rsid w:val="00C46DF0"/>
    <w:rsid w:val="00C47308"/>
    <w:rsid w:val="00C50D6D"/>
    <w:rsid w:val="00C52D15"/>
    <w:rsid w:val="00C531F1"/>
    <w:rsid w:val="00C53E1B"/>
    <w:rsid w:val="00C57577"/>
    <w:rsid w:val="00C5780A"/>
    <w:rsid w:val="00C65437"/>
    <w:rsid w:val="00C678E8"/>
    <w:rsid w:val="00C67D3F"/>
    <w:rsid w:val="00C73BD8"/>
    <w:rsid w:val="00C75A9D"/>
    <w:rsid w:val="00C75D3C"/>
    <w:rsid w:val="00C7730D"/>
    <w:rsid w:val="00C812F5"/>
    <w:rsid w:val="00C81C44"/>
    <w:rsid w:val="00C826EF"/>
    <w:rsid w:val="00C8303D"/>
    <w:rsid w:val="00C8525D"/>
    <w:rsid w:val="00C85F46"/>
    <w:rsid w:val="00C90AC1"/>
    <w:rsid w:val="00C931D6"/>
    <w:rsid w:val="00C94F34"/>
    <w:rsid w:val="00C95CD8"/>
    <w:rsid w:val="00CA0A5A"/>
    <w:rsid w:val="00CA0EE1"/>
    <w:rsid w:val="00CA1B5E"/>
    <w:rsid w:val="00CA39B3"/>
    <w:rsid w:val="00CA4A55"/>
    <w:rsid w:val="00CA518F"/>
    <w:rsid w:val="00CB011C"/>
    <w:rsid w:val="00CB1890"/>
    <w:rsid w:val="00CB1E9B"/>
    <w:rsid w:val="00CB3FF0"/>
    <w:rsid w:val="00CB40D4"/>
    <w:rsid w:val="00CB5C32"/>
    <w:rsid w:val="00CC2BB4"/>
    <w:rsid w:val="00CC2E19"/>
    <w:rsid w:val="00CC7DAF"/>
    <w:rsid w:val="00CD0BBD"/>
    <w:rsid w:val="00CD100D"/>
    <w:rsid w:val="00CD19E3"/>
    <w:rsid w:val="00CD1A8E"/>
    <w:rsid w:val="00CD4139"/>
    <w:rsid w:val="00CD48DA"/>
    <w:rsid w:val="00CE2E0F"/>
    <w:rsid w:val="00CE3FBF"/>
    <w:rsid w:val="00CF0C02"/>
    <w:rsid w:val="00CF3B7A"/>
    <w:rsid w:val="00CF4A85"/>
    <w:rsid w:val="00CF502B"/>
    <w:rsid w:val="00CF6228"/>
    <w:rsid w:val="00CF7A9E"/>
    <w:rsid w:val="00D00535"/>
    <w:rsid w:val="00D00974"/>
    <w:rsid w:val="00D04AF3"/>
    <w:rsid w:val="00D04E96"/>
    <w:rsid w:val="00D051E3"/>
    <w:rsid w:val="00D05693"/>
    <w:rsid w:val="00D117FD"/>
    <w:rsid w:val="00D127A3"/>
    <w:rsid w:val="00D13819"/>
    <w:rsid w:val="00D14656"/>
    <w:rsid w:val="00D17A1A"/>
    <w:rsid w:val="00D17B30"/>
    <w:rsid w:val="00D20230"/>
    <w:rsid w:val="00D23B8B"/>
    <w:rsid w:val="00D25ADA"/>
    <w:rsid w:val="00D30475"/>
    <w:rsid w:val="00D31792"/>
    <w:rsid w:val="00D3225D"/>
    <w:rsid w:val="00D3392B"/>
    <w:rsid w:val="00D33D4B"/>
    <w:rsid w:val="00D3420E"/>
    <w:rsid w:val="00D34542"/>
    <w:rsid w:val="00D34793"/>
    <w:rsid w:val="00D361BD"/>
    <w:rsid w:val="00D36790"/>
    <w:rsid w:val="00D45EDE"/>
    <w:rsid w:val="00D46E88"/>
    <w:rsid w:val="00D51B6B"/>
    <w:rsid w:val="00D522CE"/>
    <w:rsid w:val="00D527B1"/>
    <w:rsid w:val="00D54F87"/>
    <w:rsid w:val="00D5547F"/>
    <w:rsid w:val="00D6039C"/>
    <w:rsid w:val="00D60A9C"/>
    <w:rsid w:val="00D6367F"/>
    <w:rsid w:val="00D63E55"/>
    <w:rsid w:val="00D663E2"/>
    <w:rsid w:val="00D679C2"/>
    <w:rsid w:val="00D71A5C"/>
    <w:rsid w:val="00D74F08"/>
    <w:rsid w:val="00D802F7"/>
    <w:rsid w:val="00D8088F"/>
    <w:rsid w:val="00D80D43"/>
    <w:rsid w:val="00D8159D"/>
    <w:rsid w:val="00D8167B"/>
    <w:rsid w:val="00D842C9"/>
    <w:rsid w:val="00D920EB"/>
    <w:rsid w:val="00D926E9"/>
    <w:rsid w:val="00D92748"/>
    <w:rsid w:val="00D96908"/>
    <w:rsid w:val="00D97B5C"/>
    <w:rsid w:val="00DA0971"/>
    <w:rsid w:val="00DA0C82"/>
    <w:rsid w:val="00DA19EF"/>
    <w:rsid w:val="00DA35BC"/>
    <w:rsid w:val="00DA3A63"/>
    <w:rsid w:val="00DA69A5"/>
    <w:rsid w:val="00DB0071"/>
    <w:rsid w:val="00DB069B"/>
    <w:rsid w:val="00DB0A58"/>
    <w:rsid w:val="00DB4280"/>
    <w:rsid w:val="00DB4A6A"/>
    <w:rsid w:val="00DB7FA1"/>
    <w:rsid w:val="00DC0667"/>
    <w:rsid w:val="00DC147B"/>
    <w:rsid w:val="00DC2F7C"/>
    <w:rsid w:val="00DC3300"/>
    <w:rsid w:val="00DC4B83"/>
    <w:rsid w:val="00DC4EC8"/>
    <w:rsid w:val="00DC736D"/>
    <w:rsid w:val="00DD122D"/>
    <w:rsid w:val="00DD18CF"/>
    <w:rsid w:val="00DD1E7C"/>
    <w:rsid w:val="00DD2010"/>
    <w:rsid w:val="00DD4AC8"/>
    <w:rsid w:val="00DD6972"/>
    <w:rsid w:val="00DD74EF"/>
    <w:rsid w:val="00DD7600"/>
    <w:rsid w:val="00DE21D7"/>
    <w:rsid w:val="00DE3393"/>
    <w:rsid w:val="00DE4199"/>
    <w:rsid w:val="00DE4FE6"/>
    <w:rsid w:val="00DE62A9"/>
    <w:rsid w:val="00DF1D39"/>
    <w:rsid w:val="00DF37D6"/>
    <w:rsid w:val="00DF4273"/>
    <w:rsid w:val="00DF4346"/>
    <w:rsid w:val="00DF48AD"/>
    <w:rsid w:val="00DF4C35"/>
    <w:rsid w:val="00DF7B25"/>
    <w:rsid w:val="00E0047A"/>
    <w:rsid w:val="00E00CA1"/>
    <w:rsid w:val="00E02316"/>
    <w:rsid w:val="00E03ED2"/>
    <w:rsid w:val="00E04487"/>
    <w:rsid w:val="00E047C3"/>
    <w:rsid w:val="00E07608"/>
    <w:rsid w:val="00E12E6C"/>
    <w:rsid w:val="00E157AD"/>
    <w:rsid w:val="00E15F37"/>
    <w:rsid w:val="00E16E08"/>
    <w:rsid w:val="00E16FCC"/>
    <w:rsid w:val="00E20C7C"/>
    <w:rsid w:val="00E2129E"/>
    <w:rsid w:val="00E221F4"/>
    <w:rsid w:val="00E23456"/>
    <w:rsid w:val="00E23483"/>
    <w:rsid w:val="00E23780"/>
    <w:rsid w:val="00E24B55"/>
    <w:rsid w:val="00E25B6D"/>
    <w:rsid w:val="00E30FD5"/>
    <w:rsid w:val="00E33C48"/>
    <w:rsid w:val="00E35E49"/>
    <w:rsid w:val="00E40051"/>
    <w:rsid w:val="00E41586"/>
    <w:rsid w:val="00E4358B"/>
    <w:rsid w:val="00E44833"/>
    <w:rsid w:val="00E45E0C"/>
    <w:rsid w:val="00E46C7A"/>
    <w:rsid w:val="00E47142"/>
    <w:rsid w:val="00E47543"/>
    <w:rsid w:val="00E477EF"/>
    <w:rsid w:val="00E4795A"/>
    <w:rsid w:val="00E47E0E"/>
    <w:rsid w:val="00E50A7C"/>
    <w:rsid w:val="00E52384"/>
    <w:rsid w:val="00E532B8"/>
    <w:rsid w:val="00E533B9"/>
    <w:rsid w:val="00E55B47"/>
    <w:rsid w:val="00E55BA5"/>
    <w:rsid w:val="00E57B39"/>
    <w:rsid w:val="00E63D17"/>
    <w:rsid w:val="00E714E9"/>
    <w:rsid w:val="00E7287D"/>
    <w:rsid w:val="00E7397C"/>
    <w:rsid w:val="00E75949"/>
    <w:rsid w:val="00E770FD"/>
    <w:rsid w:val="00E806C9"/>
    <w:rsid w:val="00E82685"/>
    <w:rsid w:val="00E82838"/>
    <w:rsid w:val="00E83394"/>
    <w:rsid w:val="00E84C01"/>
    <w:rsid w:val="00E948DD"/>
    <w:rsid w:val="00E94C3B"/>
    <w:rsid w:val="00E96333"/>
    <w:rsid w:val="00E97932"/>
    <w:rsid w:val="00E97C0F"/>
    <w:rsid w:val="00E97F2F"/>
    <w:rsid w:val="00EA0667"/>
    <w:rsid w:val="00EA154E"/>
    <w:rsid w:val="00EA1E72"/>
    <w:rsid w:val="00EA20C1"/>
    <w:rsid w:val="00EA23DE"/>
    <w:rsid w:val="00EA4A9C"/>
    <w:rsid w:val="00EB1449"/>
    <w:rsid w:val="00EB2145"/>
    <w:rsid w:val="00EB337A"/>
    <w:rsid w:val="00EB39E4"/>
    <w:rsid w:val="00EB3FF4"/>
    <w:rsid w:val="00EB4F95"/>
    <w:rsid w:val="00EB7221"/>
    <w:rsid w:val="00EB7306"/>
    <w:rsid w:val="00EB78D7"/>
    <w:rsid w:val="00EC1625"/>
    <w:rsid w:val="00EC1DEC"/>
    <w:rsid w:val="00EC2348"/>
    <w:rsid w:val="00EC2BA8"/>
    <w:rsid w:val="00EC47E8"/>
    <w:rsid w:val="00EC6EC1"/>
    <w:rsid w:val="00EC752E"/>
    <w:rsid w:val="00EC7B6E"/>
    <w:rsid w:val="00EC7C32"/>
    <w:rsid w:val="00ED3472"/>
    <w:rsid w:val="00ED4D99"/>
    <w:rsid w:val="00ED6A19"/>
    <w:rsid w:val="00ED6A1B"/>
    <w:rsid w:val="00ED7486"/>
    <w:rsid w:val="00EE2010"/>
    <w:rsid w:val="00EE32E9"/>
    <w:rsid w:val="00EE475E"/>
    <w:rsid w:val="00EE4F15"/>
    <w:rsid w:val="00EE5CE6"/>
    <w:rsid w:val="00EE702F"/>
    <w:rsid w:val="00EF002D"/>
    <w:rsid w:val="00EF154A"/>
    <w:rsid w:val="00EF19A9"/>
    <w:rsid w:val="00EF2E2D"/>
    <w:rsid w:val="00EF7F5D"/>
    <w:rsid w:val="00F01D97"/>
    <w:rsid w:val="00F049B0"/>
    <w:rsid w:val="00F055B4"/>
    <w:rsid w:val="00F061FC"/>
    <w:rsid w:val="00F07546"/>
    <w:rsid w:val="00F10851"/>
    <w:rsid w:val="00F12BB2"/>
    <w:rsid w:val="00F13E00"/>
    <w:rsid w:val="00F16219"/>
    <w:rsid w:val="00F1657E"/>
    <w:rsid w:val="00F17ABA"/>
    <w:rsid w:val="00F17EA6"/>
    <w:rsid w:val="00F24E7F"/>
    <w:rsid w:val="00F33BE1"/>
    <w:rsid w:val="00F368C2"/>
    <w:rsid w:val="00F36DDE"/>
    <w:rsid w:val="00F40474"/>
    <w:rsid w:val="00F42AC2"/>
    <w:rsid w:val="00F43E5E"/>
    <w:rsid w:val="00F47BE8"/>
    <w:rsid w:val="00F47F8E"/>
    <w:rsid w:val="00F516DA"/>
    <w:rsid w:val="00F516ED"/>
    <w:rsid w:val="00F51A2A"/>
    <w:rsid w:val="00F54680"/>
    <w:rsid w:val="00F56E84"/>
    <w:rsid w:val="00F607AC"/>
    <w:rsid w:val="00F62640"/>
    <w:rsid w:val="00F62C11"/>
    <w:rsid w:val="00F64926"/>
    <w:rsid w:val="00F64BF5"/>
    <w:rsid w:val="00F65B33"/>
    <w:rsid w:val="00F65DEC"/>
    <w:rsid w:val="00F712AE"/>
    <w:rsid w:val="00F716DE"/>
    <w:rsid w:val="00F717AB"/>
    <w:rsid w:val="00F71A6E"/>
    <w:rsid w:val="00F7285C"/>
    <w:rsid w:val="00F73A1C"/>
    <w:rsid w:val="00F744F3"/>
    <w:rsid w:val="00F76EAE"/>
    <w:rsid w:val="00F7703D"/>
    <w:rsid w:val="00F8030D"/>
    <w:rsid w:val="00F80761"/>
    <w:rsid w:val="00F8197E"/>
    <w:rsid w:val="00F81A06"/>
    <w:rsid w:val="00F82357"/>
    <w:rsid w:val="00F8373A"/>
    <w:rsid w:val="00F84EC7"/>
    <w:rsid w:val="00F84FB6"/>
    <w:rsid w:val="00F858FC"/>
    <w:rsid w:val="00F87B73"/>
    <w:rsid w:val="00F91275"/>
    <w:rsid w:val="00F9256B"/>
    <w:rsid w:val="00F937AB"/>
    <w:rsid w:val="00F9502A"/>
    <w:rsid w:val="00F96871"/>
    <w:rsid w:val="00F9688E"/>
    <w:rsid w:val="00F969F4"/>
    <w:rsid w:val="00FA0200"/>
    <w:rsid w:val="00FA11F8"/>
    <w:rsid w:val="00FA1B9B"/>
    <w:rsid w:val="00FA444C"/>
    <w:rsid w:val="00FA6841"/>
    <w:rsid w:val="00FB0792"/>
    <w:rsid w:val="00FB0CD5"/>
    <w:rsid w:val="00FB4B6C"/>
    <w:rsid w:val="00FB5CC6"/>
    <w:rsid w:val="00FC04B3"/>
    <w:rsid w:val="00FC0AC3"/>
    <w:rsid w:val="00FC1FE0"/>
    <w:rsid w:val="00FC4021"/>
    <w:rsid w:val="00FC5926"/>
    <w:rsid w:val="00FC686E"/>
    <w:rsid w:val="00FC749E"/>
    <w:rsid w:val="00FD1915"/>
    <w:rsid w:val="00FD1AC2"/>
    <w:rsid w:val="00FD2027"/>
    <w:rsid w:val="00FD2247"/>
    <w:rsid w:val="00FD3921"/>
    <w:rsid w:val="00FD7E81"/>
    <w:rsid w:val="00FF03F7"/>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A252B"/>
  <w15:docId w15:val="{4742D21C-73A7-4572-9D89-38809D0A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389"/>
    <w:pPr>
      <w:spacing w:before="120" w:after="120"/>
    </w:pPr>
    <w:rPr>
      <w:rFonts w:ascii="Arial" w:eastAsia="Cambria" w:hAnsi="Arial"/>
      <w:sz w:val="22"/>
      <w:szCs w:val="22"/>
      <w:lang w:val="en-AU"/>
    </w:rPr>
  </w:style>
  <w:style w:type="paragraph" w:styleId="Heading1">
    <w:name w:val="heading 1"/>
    <w:basedOn w:val="Normal"/>
    <w:next w:val="Normal"/>
    <w:link w:val="Heading1Char"/>
    <w:uiPriority w:val="9"/>
    <w:qFormat/>
    <w:rsid w:val="004839FB"/>
    <w:pPr>
      <w:keepNext/>
      <w:numPr>
        <w:numId w:val="6"/>
      </w:numPr>
      <w:spacing w:before="240" w:after="60"/>
      <w:ind w:left="567" w:hanging="567"/>
      <w:outlineLvl w:val="0"/>
    </w:pPr>
    <w:rPr>
      <w:rFonts w:eastAsia="Times New Roman"/>
      <w:b/>
      <w:kern w:val="32"/>
      <w:sz w:val="36"/>
      <w:szCs w:val="36"/>
    </w:rPr>
  </w:style>
  <w:style w:type="paragraph" w:styleId="Heading2">
    <w:name w:val="heading 2"/>
    <w:basedOn w:val="Normal"/>
    <w:next w:val="Normal"/>
    <w:link w:val="Heading2Char"/>
    <w:uiPriority w:val="9"/>
    <w:qFormat/>
    <w:rsid w:val="005729B5"/>
    <w:pPr>
      <w:keepNext/>
      <w:numPr>
        <w:ilvl w:val="1"/>
        <w:numId w:val="6"/>
      </w:numPr>
      <w:spacing w:before="240" w:after="60"/>
      <w:outlineLvl w:val="1"/>
    </w:pPr>
    <w:rPr>
      <w:rFonts w:eastAsia="Times New Roman"/>
      <w:b/>
      <w:sz w:val="32"/>
      <w:szCs w:val="32"/>
    </w:rPr>
  </w:style>
  <w:style w:type="paragraph" w:styleId="Heading3">
    <w:name w:val="heading 3"/>
    <w:basedOn w:val="Normal"/>
    <w:next w:val="Normal"/>
    <w:link w:val="Heading3Char"/>
    <w:uiPriority w:val="9"/>
    <w:qFormat/>
    <w:rsid w:val="005729B5"/>
    <w:pPr>
      <w:keepNext/>
      <w:numPr>
        <w:ilvl w:val="2"/>
        <w:numId w:val="6"/>
      </w:numPr>
      <w:spacing w:before="240" w:after="60"/>
      <w:outlineLvl w:val="2"/>
    </w:pPr>
    <w:rPr>
      <w:rFonts w:eastAsia="Times New Roman"/>
      <w:b/>
      <w:sz w:val="28"/>
      <w:szCs w:val="28"/>
    </w:rPr>
  </w:style>
  <w:style w:type="paragraph" w:styleId="Heading4">
    <w:name w:val="heading 4"/>
    <w:basedOn w:val="Normal"/>
    <w:next w:val="Normal"/>
    <w:link w:val="Heading4Char"/>
    <w:uiPriority w:val="9"/>
    <w:qFormat/>
    <w:rsid w:val="005729B5"/>
    <w:pPr>
      <w:keepNext/>
      <w:numPr>
        <w:ilvl w:val="3"/>
        <w:numId w:val="6"/>
      </w:numPr>
      <w:spacing w:before="240" w:after="60"/>
      <w:outlineLvl w:val="3"/>
    </w:pPr>
    <w:rPr>
      <w:rFonts w:eastAsia="Times New Roman"/>
      <w:b/>
    </w:rPr>
  </w:style>
  <w:style w:type="paragraph" w:styleId="Heading5">
    <w:name w:val="heading 5"/>
    <w:basedOn w:val="Normal"/>
    <w:next w:val="Normal"/>
    <w:link w:val="Heading5Char"/>
    <w:uiPriority w:val="9"/>
    <w:semiHidden/>
    <w:unhideWhenUsed/>
    <w:qFormat/>
    <w:rsid w:val="004839FB"/>
    <w:pPr>
      <w:numPr>
        <w:ilvl w:val="4"/>
        <w:numId w:val="6"/>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4839FB"/>
    <w:pPr>
      <w:numPr>
        <w:ilvl w:val="5"/>
        <w:numId w:val="6"/>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4839FB"/>
    <w:pPr>
      <w:numPr>
        <w:ilvl w:val="6"/>
        <w:numId w:val="6"/>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4839FB"/>
    <w:pPr>
      <w:numPr>
        <w:ilvl w:val="7"/>
        <w:numId w:val="6"/>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4839FB"/>
    <w:pPr>
      <w:numPr>
        <w:ilvl w:val="8"/>
        <w:numId w:val="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9B5"/>
    <w:pPr>
      <w:tabs>
        <w:tab w:val="center" w:pos="4320"/>
        <w:tab w:val="right" w:pos="8640"/>
      </w:tabs>
      <w:spacing w:after="0"/>
    </w:pPr>
  </w:style>
  <w:style w:type="character" w:customStyle="1" w:styleId="HeaderChar">
    <w:name w:val="Header Char"/>
    <w:link w:val="Header"/>
    <w:uiPriority w:val="99"/>
    <w:rsid w:val="00274B93"/>
    <w:rPr>
      <w:rFonts w:ascii="Arial" w:eastAsia="Cambria" w:hAnsi="Arial"/>
      <w:sz w:val="22"/>
      <w:szCs w:val="22"/>
      <w:lang w:eastAsia="en-US"/>
    </w:rPr>
  </w:style>
  <w:style w:type="paragraph" w:styleId="Footer">
    <w:name w:val="footer"/>
    <w:basedOn w:val="Footer-FirstPage"/>
    <w:link w:val="FooterChar"/>
    <w:qFormat/>
    <w:rsid w:val="005729B5"/>
    <w:pPr>
      <w:pBdr>
        <w:top w:val="single" w:sz="4" w:space="6" w:color="4375B5"/>
      </w:pBdr>
      <w:spacing w:before="120"/>
    </w:pPr>
    <w:rPr>
      <w:lang w:val="en-US"/>
    </w:rPr>
  </w:style>
  <w:style w:type="character" w:customStyle="1" w:styleId="Heading1Char">
    <w:name w:val="Heading 1 Char"/>
    <w:link w:val="Heading1"/>
    <w:uiPriority w:val="9"/>
    <w:rsid w:val="004839FB"/>
    <w:rPr>
      <w:rFonts w:ascii="Arial" w:hAnsi="Arial"/>
      <w:b/>
      <w:kern w:val="32"/>
      <w:sz w:val="36"/>
      <w:szCs w:val="36"/>
      <w:lang w:val="en-AU"/>
    </w:rPr>
  </w:style>
  <w:style w:type="character" w:customStyle="1" w:styleId="Heading2Char">
    <w:name w:val="Heading 2 Char"/>
    <w:link w:val="Heading2"/>
    <w:uiPriority w:val="9"/>
    <w:rsid w:val="007130D6"/>
    <w:rPr>
      <w:rFonts w:ascii="Arial" w:hAnsi="Arial"/>
      <w:b/>
      <w:sz w:val="32"/>
      <w:szCs w:val="32"/>
      <w:lang w:val="en-AU"/>
    </w:rPr>
  </w:style>
  <w:style w:type="character" w:customStyle="1" w:styleId="Heading3Char">
    <w:name w:val="Heading 3 Char"/>
    <w:link w:val="Heading3"/>
    <w:uiPriority w:val="9"/>
    <w:rsid w:val="007130D6"/>
    <w:rPr>
      <w:rFonts w:ascii="Arial" w:hAnsi="Arial"/>
      <w:b/>
      <w:sz w:val="28"/>
      <w:szCs w:val="28"/>
      <w:lang w:val="en-AU"/>
    </w:rPr>
  </w:style>
  <w:style w:type="character" w:customStyle="1" w:styleId="Heading4Char">
    <w:name w:val="Heading 4 Char"/>
    <w:link w:val="Heading4"/>
    <w:uiPriority w:val="9"/>
    <w:rsid w:val="007130D6"/>
    <w:rPr>
      <w:rFonts w:ascii="Arial" w:hAnsi="Arial"/>
      <w:b/>
      <w:sz w:val="22"/>
      <w:szCs w:val="22"/>
      <w:lang w:val="en-AU"/>
    </w:rPr>
  </w:style>
  <w:style w:type="paragraph" w:styleId="FootnoteText">
    <w:name w:val="footnote text"/>
    <w:basedOn w:val="Normal"/>
    <w:link w:val="FootnoteTextChar"/>
    <w:uiPriority w:val="99"/>
    <w:rsid w:val="00ED3472"/>
    <w:pPr>
      <w:tabs>
        <w:tab w:val="left" w:pos="284"/>
      </w:tabs>
      <w:ind w:left="284" w:hanging="284"/>
    </w:pPr>
    <w:rPr>
      <w:rFonts w:eastAsia="Times New Roman"/>
      <w:sz w:val="18"/>
      <w:szCs w:val="18"/>
    </w:rPr>
  </w:style>
  <w:style w:type="character" w:customStyle="1" w:styleId="FootnoteTextChar">
    <w:name w:val="Footnote Text Char"/>
    <w:link w:val="FootnoteText"/>
    <w:uiPriority w:val="99"/>
    <w:rsid w:val="00ED3472"/>
    <w:rPr>
      <w:rFonts w:ascii="Arial" w:hAnsi="Arial"/>
      <w:sz w:val="18"/>
      <w:szCs w:val="18"/>
      <w:lang w:val="en-AU"/>
    </w:rPr>
  </w:style>
  <w:style w:type="paragraph" w:styleId="ListBullet">
    <w:name w:val="List Bullet"/>
    <w:basedOn w:val="Normal"/>
    <w:autoRedefine/>
    <w:uiPriority w:val="99"/>
    <w:rsid w:val="00DC3300"/>
    <w:pPr>
      <w:keepLines/>
      <w:numPr>
        <w:numId w:val="10"/>
      </w:numPr>
      <w:ind w:left="425" w:hanging="425"/>
    </w:pPr>
    <w:rPr>
      <w:rFonts w:eastAsia="Times New Roman"/>
      <w:szCs w:val="20"/>
    </w:rPr>
  </w:style>
  <w:style w:type="paragraph" w:styleId="ListBullet2">
    <w:name w:val="List Bullet 2"/>
    <w:basedOn w:val="Normal"/>
    <w:autoRedefine/>
    <w:uiPriority w:val="99"/>
    <w:rsid w:val="00B17FC7"/>
    <w:pPr>
      <w:numPr>
        <w:numId w:val="1"/>
      </w:numPr>
      <w:tabs>
        <w:tab w:val="left" w:pos="709"/>
      </w:tabs>
      <w:ind w:left="709" w:hanging="283"/>
    </w:pPr>
    <w:rPr>
      <w:rFonts w:eastAsia="Times New Roman"/>
      <w:szCs w:val="20"/>
    </w:rPr>
  </w:style>
  <w:style w:type="paragraph" w:styleId="ListBullet3">
    <w:name w:val="List Bullet 3"/>
    <w:basedOn w:val="Normal"/>
    <w:autoRedefine/>
    <w:uiPriority w:val="99"/>
    <w:rsid w:val="005729B5"/>
    <w:pPr>
      <w:numPr>
        <w:numId w:val="2"/>
      </w:numPr>
      <w:tabs>
        <w:tab w:val="left" w:pos="851"/>
      </w:tabs>
    </w:pPr>
    <w:rPr>
      <w:rFonts w:eastAsia="Times New Roman"/>
      <w:sz w:val="20"/>
      <w:szCs w:val="20"/>
    </w:rPr>
  </w:style>
  <w:style w:type="paragraph" w:customStyle="1" w:styleId="TableHeading">
    <w:name w:val="Table Heading"/>
    <w:basedOn w:val="Normal"/>
    <w:next w:val="Normal"/>
    <w:rsid w:val="006C2F28"/>
    <w:rPr>
      <w:rFonts w:eastAsia="Times New Roman"/>
      <w:b/>
      <w:bCs/>
      <w:sz w:val="20"/>
    </w:rPr>
  </w:style>
  <w:style w:type="paragraph" w:customStyle="1" w:styleId="TableText">
    <w:name w:val="Table Text"/>
    <w:basedOn w:val="Normal"/>
    <w:link w:val="TableTextChar"/>
    <w:qFormat/>
    <w:rsid w:val="006C2F28"/>
    <w:rPr>
      <w:rFonts w:eastAsia="Times New Roman"/>
      <w:sz w:val="20"/>
      <w:szCs w:val="20"/>
    </w:rPr>
  </w:style>
  <w:style w:type="paragraph" w:customStyle="1" w:styleId="Tablelistbullet">
    <w:name w:val="Table list bullet"/>
    <w:basedOn w:val="TableText"/>
    <w:next w:val="TableText"/>
    <w:rsid w:val="00E35E49"/>
    <w:pPr>
      <w:numPr>
        <w:numId w:val="9"/>
      </w:numPr>
    </w:pPr>
  </w:style>
  <w:style w:type="table" w:styleId="TableGrid">
    <w:name w:val="Table Grid"/>
    <w:basedOn w:val="TableNormal"/>
    <w:uiPriority w:val="39"/>
    <w:rsid w:val="005729B5"/>
    <w:pPr>
      <w:spacing w:after="20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D62AB"/>
    <w:rPr>
      <w:rFonts w:ascii="Arial" w:eastAsia="Cambria" w:hAnsi="Arial"/>
      <w:noProof/>
      <w:color w:val="4375B5"/>
      <w:sz w:val="18"/>
      <w:szCs w:val="18"/>
      <w:lang w:val="en-US"/>
    </w:rPr>
  </w:style>
  <w:style w:type="paragraph" w:customStyle="1" w:styleId="Footer-FirstPage">
    <w:name w:val="Footer - First Page"/>
    <w:basedOn w:val="Normal"/>
    <w:qFormat/>
    <w:rsid w:val="005729B5"/>
    <w:pPr>
      <w:spacing w:before="240" w:after="60"/>
      <w:jc w:val="center"/>
    </w:pPr>
    <w:rPr>
      <w:noProof/>
      <w:color w:val="4375B5"/>
      <w:sz w:val="18"/>
      <w:szCs w:val="18"/>
      <w:lang w:eastAsia="en-AU"/>
    </w:rPr>
  </w:style>
  <w:style w:type="paragraph" w:styleId="ListNumber">
    <w:name w:val="List Number"/>
    <w:basedOn w:val="Normal"/>
    <w:uiPriority w:val="99"/>
    <w:rsid w:val="005A3EAE"/>
    <w:pPr>
      <w:tabs>
        <w:tab w:val="num" w:pos="360"/>
      </w:tabs>
      <w:ind w:left="360" w:hanging="360"/>
    </w:pPr>
  </w:style>
  <w:style w:type="paragraph" w:styleId="ListNumber2">
    <w:name w:val="List Number 2"/>
    <w:basedOn w:val="Normal"/>
    <w:uiPriority w:val="99"/>
    <w:rsid w:val="00F84EC7"/>
    <w:pPr>
      <w:numPr>
        <w:numId w:val="4"/>
      </w:numPr>
      <w:tabs>
        <w:tab w:val="left" w:pos="741"/>
      </w:tabs>
      <w:ind w:left="741"/>
      <w:contextualSpacing/>
    </w:pPr>
  </w:style>
  <w:style w:type="paragraph" w:styleId="ListNumber3">
    <w:name w:val="List Number 3"/>
    <w:basedOn w:val="Normal"/>
    <w:uiPriority w:val="99"/>
    <w:rsid w:val="005729B5"/>
    <w:pPr>
      <w:numPr>
        <w:numId w:val="5"/>
      </w:numPr>
      <w:tabs>
        <w:tab w:val="left" w:pos="1418"/>
      </w:tabs>
      <w:contextualSpacing/>
    </w:pPr>
  </w:style>
  <w:style w:type="character" w:styleId="PageNumber">
    <w:name w:val="page number"/>
    <w:basedOn w:val="DefaultParagraphFont"/>
    <w:semiHidden/>
    <w:unhideWhenUsed/>
    <w:rsid w:val="005729B5"/>
  </w:style>
  <w:style w:type="paragraph" w:customStyle="1" w:styleId="Quotelistbullet">
    <w:name w:val="Quote list bullet"/>
    <w:basedOn w:val="ListBullet"/>
    <w:unhideWhenUsed/>
    <w:qFormat/>
    <w:rsid w:val="005729B5"/>
    <w:pPr>
      <w:numPr>
        <w:numId w:val="0"/>
      </w:numPr>
      <w:ind w:right="275"/>
    </w:pPr>
    <w:rPr>
      <w:i/>
    </w:rPr>
  </w:style>
  <w:style w:type="character" w:customStyle="1" w:styleId="Heading5Char">
    <w:name w:val="Heading 5 Char"/>
    <w:link w:val="Heading5"/>
    <w:uiPriority w:val="9"/>
    <w:semiHidden/>
    <w:rsid w:val="004839FB"/>
    <w:rPr>
      <w:rFonts w:ascii="Calibri" w:hAnsi="Calibri"/>
      <w:b/>
      <w:bCs/>
      <w:i/>
      <w:iCs/>
      <w:sz w:val="26"/>
      <w:szCs w:val="26"/>
      <w:lang w:val="en-AU"/>
    </w:rPr>
  </w:style>
  <w:style w:type="character" w:customStyle="1" w:styleId="Heading6Char">
    <w:name w:val="Heading 6 Char"/>
    <w:link w:val="Heading6"/>
    <w:uiPriority w:val="9"/>
    <w:semiHidden/>
    <w:rsid w:val="004839FB"/>
    <w:rPr>
      <w:rFonts w:ascii="Calibri" w:hAnsi="Calibri"/>
      <w:b/>
      <w:bCs/>
      <w:sz w:val="22"/>
      <w:szCs w:val="22"/>
      <w:lang w:val="en-AU"/>
    </w:rPr>
  </w:style>
  <w:style w:type="character" w:customStyle="1" w:styleId="Heading7Char">
    <w:name w:val="Heading 7 Char"/>
    <w:link w:val="Heading7"/>
    <w:uiPriority w:val="9"/>
    <w:semiHidden/>
    <w:rsid w:val="004839FB"/>
    <w:rPr>
      <w:rFonts w:ascii="Calibri" w:hAnsi="Calibri"/>
      <w:sz w:val="24"/>
      <w:szCs w:val="24"/>
      <w:lang w:val="en-AU"/>
    </w:rPr>
  </w:style>
  <w:style w:type="character" w:customStyle="1" w:styleId="Heading8Char">
    <w:name w:val="Heading 8 Char"/>
    <w:link w:val="Heading8"/>
    <w:uiPriority w:val="9"/>
    <w:semiHidden/>
    <w:rsid w:val="004839FB"/>
    <w:rPr>
      <w:rFonts w:ascii="Calibri" w:hAnsi="Calibri"/>
      <w:i/>
      <w:iCs/>
      <w:sz w:val="24"/>
      <w:szCs w:val="24"/>
      <w:lang w:val="en-AU"/>
    </w:rPr>
  </w:style>
  <w:style w:type="character" w:customStyle="1" w:styleId="Heading9Char">
    <w:name w:val="Heading 9 Char"/>
    <w:link w:val="Heading9"/>
    <w:uiPriority w:val="9"/>
    <w:semiHidden/>
    <w:rsid w:val="004839FB"/>
    <w:rPr>
      <w:rFonts w:ascii="Cambria" w:hAnsi="Cambria"/>
      <w:sz w:val="22"/>
      <w:szCs w:val="22"/>
      <w:lang w:val="en-AU"/>
    </w:rPr>
  </w:style>
  <w:style w:type="table" w:customStyle="1" w:styleId="TableGrid1">
    <w:name w:val="Table Grid1"/>
    <w:basedOn w:val="TableNormal"/>
    <w:next w:val="TableGrid"/>
    <w:uiPriority w:val="59"/>
    <w:rsid w:val="002625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D0696"/>
    <w:pPr>
      <w:pBdr>
        <w:bottom w:val="single" w:sz="8" w:space="4" w:color="122250"/>
      </w:pBdr>
      <w:spacing w:before="0" w:after="300"/>
      <w:contextualSpacing/>
    </w:pPr>
    <w:rPr>
      <w:rFonts w:eastAsia="Times New Roman" w:cs="Arial"/>
      <w:color w:val="122250"/>
      <w:spacing w:val="5"/>
      <w:kern w:val="28"/>
      <w:sz w:val="52"/>
      <w:szCs w:val="52"/>
    </w:rPr>
  </w:style>
  <w:style w:type="character" w:customStyle="1" w:styleId="TitleChar">
    <w:name w:val="Title Char"/>
    <w:link w:val="Title"/>
    <w:uiPriority w:val="10"/>
    <w:rsid w:val="009D0696"/>
    <w:rPr>
      <w:rFonts w:ascii="Arial" w:eastAsia="Times New Roman" w:hAnsi="Arial" w:cs="Arial"/>
      <w:color w:val="122250"/>
      <w:spacing w:val="5"/>
      <w:kern w:val="28"/>
      <w:sz w:val="52"/>
      <w:szCs w:val="52"/>
      <w:lang w:eastAsia="en-US"/>
    </w:rPr>
  </w:style>
  <w:style w:type="paragraph" w:styleId="Caption">
    <w:name w:val="caption"/>
    <w:basedOn w:val="Normal"/>
    <w:next w:val="Normal"/>
    <w:uiPriority w:val="35"/>
    <w:qFormat/>
    <w:rsid w:val="005171C5"/>
    <w:pPr>
      <w:keepNext/>
    </w:pPr>
    <w:rPr>
      <w:iCs/>
      <w:color w:val="122250"/>
      <w:sz w:val="18"/>
      <w:szCs w:val="18"/>
    </w:rPr>
  </w:style>
  <w:style w:type="paragraph" w:customStyle="1" w:styleId="UnnumberedHeading1">
    <w:name w:val="Unnumbered Heading 1"/>
    <w:basedOn w:val="Heading1"/>
    <w:qFormat/>
    <w:rsid w:val="009D0696"/>
    <w:pPr>
      <w:numPr>
        <w:numId w:val="0"/>
      </w:numPr>
    </w:pPr>
  </w:style>
  <w:style w:type="paragraph" w:customStyle="1" w:styleId="UnnumberedHeading2">
    <w:name w:val="Unnumbered Heading 2"/>
    <w:basedOn w:val="Heading2"/>
    <w:qFormat/>
    <w:rsid w:val="009D0696"/>
    <w:pPr>
      <w:numPr>
        <w:ilvl w:val="0"/>
        <w:numId w:val="0"/>
      </w:numPr>
    </w:pPr>
  </w:style>
  <w:style w:type="paragraph" w:customStyle="1" w:styleId="UnnumberedHeading3">
    <w:name w:val="Unnumbered Heading 3"/>
    <w:basedOn w:val="Heading3"/>
    <w:qFormat/>
    <w:rsid w:val="009D0696"/>
    <w:pPr>
      <w:numPr>
        <w:ilvl w:val="0"/>
        <w:numId w:val="0"/>
      </w:numPr>
    </w:pPr>
  </w:style>
  <w:style w:type="paragraph" w:customStyle="1" w:styleId="UnnumberedHeading4">
    <w:name w:val="Unnumbered Heading 4"/>
    <w:basedOn w:val="Heading4"/>
    <w:qFormat/>
    <w:rsid w:val="009D0696"/>
    <w:pPr>
      <w:numPr>
        <w:ilvl w:val="0"/>
        <w:numId w:val="0"/>
      </w:numPr>
    </w:pPr>
  </w:style>
  <w:style w:type="table" w:customStyle="1" w:styleId="GridTable4-Accent11">
    <w:name w:val="Grid Table 4 - Accent 11"/>
    <w:aliases w:val="Stenning Table"/>
    <w:basedOn w:val="TableNormal"/>
    <w:uiPriority w:val="49"/>
    <w:rsid w:val="00B0451E"/>
    <w:rPr>
      <w:rFonts w:ascii="Arial" w:hAnsi="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shd w:val="clear" w:color="auto" w:fill="4375B5"/>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2Vert">
      <w:tblPr/>
      <w:tcPr>
        <w:shd w:val="clear" w:color="auto" w:fill="B8CCE4"/>
      </w:tcPr>
    </w:tblStylePr>
    <w:tblStylePr w:type="band1Horz">
      <w:tblPr/>
      <w:tcPr>
        <w:shd w:val="clear" w:color="auto" w:fill="DBE5F1"/>
      </w:tcPr>
    </w:tblStylePr>
    <w:tblStylePr w:type="band2Horz">
      <w:tblPr/>
      <w:tcPr>
        <w:shd w:val="clear" w:color="auto" w:fill="B8CCE4"/>
      </w:tcPr>
    </w:tblStylePr>
  </w:style>
  <w:style w:type="paragraph" w:styleId="BalloonText">
    <w:name w:val="Balloon Text"/>
    <w:basedOn w:val="Normal"/>
    <w:link w:val="BalloonTextChar"/>
    <w:uiPriority w:val="99"/>
    <w:semiHidden/>
    <w:unhideWhenUsed/>
    <w:rsid w:val="00E948DD"/>
    <w:pPr>
      <w:spacing w:before="0" w:after="0"/>
    </w:pPr>
    <w:rPr>
      <w:rFonts w:ascii="Tahoma" w:hAnsi="Tahoma" w:cs="Tahoma"/>
      <w:sz w:val="16"/>
      <w:szCs w:val="16"/>
    </w:rPr>
  </w:style>
  <w:style w:type="character" w:customStyle="1" w:styleId="BalloonTextChar">
    <w:name w:val="Balloon Text Char"/>
    <w:link w:val="BalloonText"/>
    <w:uiPriority w:val="99"/>
    <w:semiHidden/>
    <w:rsid w:val="00E948DD"/>
    <w:rPr>
      <w:rFonts w:ascii="Tahoma" w:eastAsia="Cambria" w:hAnsi="Tahoma" w:cs="Tahoma"/>
      <w:sz w:val="16"/>
      <w:szCs w:val="16"/>
      <w:lang w:eastAsia="en-US"/>
    </w:rPr>
  </w:style>
  <w:style w:type="character" w:styleId="CommentReference">
    <w:name w:val="annotation reference"/>
    <w:basedOn w:val="DefaultParagraphFont"/>
    <w:uiPriority w:val="99"/>
    <w:unhideWhenUsed/>
    <w:rsid w:val="00B2634F"/>
    <w:rPr>
      <w:sz w:val="16"/>
      <w:szCs w:val="16"/>
    </w:rPr>
  </w:style>
  <w:style w:type="paragraph" w:styleId="CommentText">
    <w:name w:val="annotation text"/>
    <w:basedOn w:val="Normal"/>
    <w:link w:val="CommentTextChar"/>
    <w:uiPriority w:val="99"/>
    <w:unhideWhenUsed/>
    <w:rsid w:val="00B2634F"/>
    <w:rPr>
      <w:sz w:val="20"/>
      <w:szCs w:val="20"/>
    </w:rPr>
  </w:style>
  <w:style w:type="character" w:customStyle="1" w:styleId="CommentTextChar">
    <w:name w:val="Comment Text Char"/>
    <w:basedOn w:val="DefaultParagraphFont"/>
    <w:link w:val="CommentText"/>
    <w:uiPriority w:val="99"/>
    <w:rsid w:val="00B2634F"/>
    <w:rPr>
      <w:rFonts w:ascii="Arial" w:eastAsia="Cambria" w:hAnsi="Arial"/>
      <w:lang w:val="en-AU"/>
    </w:rPr>
  </w:style>
  <w:style w:type="paragraph" w:styleId="CommentSubject">
    <w:name w:val="annotation subject"/>
    <w:basedOn w:val="CommentText"/>
    <w:next w:val="CommentText"/>
    <w:link w:val="CommentSubjectChar"/>
    <w:uiPriority w:val="99"/>
    <w:semiHidden/>
    <w:unhideWhenUsed/>
    <w:rsid w:val="00B2634F"/>
    <w:rPr>
      <w:b/>
      <w:bCs/>
    </w:rPr>
  </w:style>
  <w:style w:type="character" w:customStyle="1" w:styleId="CommentSubjectChar">
    <w:name w:val="Comment Subject Char"/>
    <w:basedOn w:val="CommentTextChar"/>
    <w:link w:val="CommentSubject"/>
    <w:uiPriority w:val="99"/>
    <w:semiHidden/>
    <w:rsid w:val="00B2634F"/>
    <w:rPr>
      <w:rFonts w:ascii="Arial" w:eastAsia="Cambria" w:hAnsi="Arial"/>
      <w:b/>
      <w:bCs/>
      <w:lang w:val="en-AU"/>
    </w:rPr>
  </w:style>
  <w:style w:type="table" w:styleId="ListTable3-Accent1">
    <w:name w:val="List Table 3 Accent 1"/>
    <w:aliases w:val="TWL Table"/>
    <w:basedOn w:val="TableNormal"/>
    <w:uiPriority w:val="48"/>
    <w:rsid w:val="006B669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B66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aliases w:val="Bullet List Paragraph"/>
    <w:basedOn w:val="Normal"/>
    <w:link w:val="ListParagraphChar"/>
    <w:uiPriority w:val="34"/>
    <w:qFormat/>
    <w:rsid w:val="00F96871"/>
    <w:pPr>
      <w:ind w:left="720"/>
      <w:contextualSpacing/>
    </w:pPr>
  </w:style>
  <w:style w:type="character" w:styleId="FootnoteReference">
    <w:name w:val="footnote reference"/>
    <w:basedOn w:val="DefaultParagraphFont"/>
    <w:uiPriority w:val="99"/>
    <w:semiHidden/>
    <w:unhideWhenUsed/>
    <w:rsid w:val="00FB4B6C"/>
    <w:rPr>
      <w:vertAlign w:val="superscript"/>
    </w:rPr>
  </w:style>
  <w:style w:type="character" w:styleId="Hyperlink">
    <w:name w:val="Hyperlink"/>
    <w:basedOn w:val="DefaultParagraphFont"/>
    <w:uiPriority w:val="99"/>
    <w:rsid w:val="00FB4B6C"/>
    <w:rPr>
      <w:color w:val="0000FF"/>
      <w:u w:val="single"/>
    </w:rPr>
  </w:style>
  <w:style w:type="table" w:styleId="GridTable4-Accent5">
    <w:name w:val="Grid Table 4 Accent 5"/>
    <w:basedOn w:val="TableNormal"/>
    <w:uiPriority w:val="49"/>
    <w:rsid w:val="0088229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dnoteText">
    <w:name w:val="endnote text"/>
    <w:basedOn w:val="Normal"/>
    <w:link w:val="EndnoteTextChar"/>
    <w:uiPriority w:val="99"/>
    <w:semiHidden/>
    <w:unhideWhenUsed/>
    <w:rsid w:val="00A64B76"/>
    <w:pPr>
      <w:spacing w:before="0" w:after="0"/>
    </w:pPr>
    <w:rPr>
      <w:sz w:val="20"/>
      <w:szCs w:val="20"/>
    </w:rPr>
  </w:style>
  <w:style w:type="character" w:customStyle="1" w:styleId="EndnoteTextChar">
    <w:name w:val="Endnote Text Char"/>
    <w:basedOn w:val="DefaultParagraphFont"/>
    <w:link w:val="EndnoteText"/>
    <w:uiPriority w:val="99"/>
    <w:semiHidden/>
    <w:rsid w:val="00A64B76"/>
    <w:rPr>
      <w:rFonts w:ascii="Arial" w:eastAsia="Cambria" w:hAnsi="Arial"/>
      <w:lang w:val="en-AU"/>
    </w:rPr>
  </w:style>
  <w:style w:type="character" w:styleId="EndnoteReference">
    <w:name w:val="endnote reference"/>
    <w:basedOn w:val="DefaultParagraphFont"/>
    <w:uiPriority w:val="99"/>
    <w:semiHidden/>
    <w:unhideWhenUsed/>
    <w:rsid w:val="00A64B76"/>
    <w:rPr>
      <w:vertAlign w:val="superscript"/>
    </w:rPr>
  </w:style>
  <w:style w:type="paragraph" w:customStyle="1" w:styleId="TWLTableContent">
    <w:name w:val="TWL Table Content"/>
    <w:basedOn w:val="Normal"/>
    <w:next w:val="Normal"/>
    <w:autoRedefine/>
    <w:rsid w:val="009D09C2"/>
    <w:pPr>
      <w:tabs>
        <w:tab w:val="left" w:pos="567"/>
        <w:tab w:val="right" w:pos="8789"/>
      </w:tabs>
      <w:spacing w:line="300" w:lineRule="exact"/>
    </w:pPr>
    <w:rPr>
      <w:rFonts w:eastAsia="Times"/>
      <w:bCs/>
      <w:color w:val="000000"/>
      <w:sz w:val="20"/>
      <w:szCs w:val="20"/>
      <w:lang w:eastAsia="en-GB"/>
    </w:rPr>
  </w:style>
  <w:style w:type="paragraph" w:customStyle="1" w:styleId="TableTextListNumber">
    <w:name w:val="Table Text List Number"/>
    <w:basedOn w:val="ListNumber"/>
    <w:qFormat/>
    <w:rsid w:val="00EE32E9"/>
    <w:rPr>
      <w:b/>
      <w:bCs/>
      <w:sz w:val="20"/>
    </w:rPr>
  </w:style>
  <w:style w:type="paragraph" w:customStyle="1" w:styleId="Tablebullets">
    <w:name w:val="Table bullets"/>
    <w:basedOn w:val="TableText"/>
    <w:qFormat/>
    <w:rsid w:val="00AA1067"/>
    <w:pPr>
      <w:numPr>
        <w:numId w:val="7"/>
      </w:numPr>
      <w:ind w:left="294" w:hanging="283"/>
    </w:pPr>
    <w:rPr>
      <w:rFonts w:eastAsia="Cambria"/>
      <w:szCs w:val="24"/>
      <w:lang w:eastAsia="en-AU"/>
    </w:rPr>
  </w:style>
  <w:style w:type="character" w:customStyle="1" w:styleId="ListParagraphChar">
    <w:name w:val="List Paragraph Char"/>
    <w:aliases w:val="Bullet List Paragraph Char"/>
    <w:link w:val="ListParagraph"/>
    <w:uiPriority w:val="34"/>
    <w:locked/>
    <w:rsid w:val="006505B2"/>
    <w:rPr>
      <w:rFonts w:ascii="Arial" w:eastAsia="Cambria" w:hAnsi="Arial"/>
      <w:sz w:val="22"/>
      <w:szCs w:val="22"/>
      <w:lang w:val="en-AU"/>
    </w:rPr>
  </w:style>
  <w:style w:type="paragraph" w:customStyle="1" w:styleId="TWLHeading3">
    <w:name w:val="TWL Heading 3"/>
    <w:basedOn w:val="Normal"/>
    <w:link w:val="TWLHeading3Char"/>
    <w:rsid w:val="006505B2"/>
    <w:pPr>
      <w:spacing w:before="0" w:after="0" w:line="380" w:lineRule="exact"/>
    </w:pPr>
    <w:rPr>
      <w:rFonts w:eastAsia="Times"/>
      <w:szCs w:val="20"/>
      <w:lang w:eastAsia="en-GB"/>
    </w:rPr>
  </w:style>
  <w:style w:type="character" w:customStyle="1" w:styleId="TWLHeading3Char">
    <w:name w:val="TWL Heading 3 Char"/>
    <w:basedOn w:val="DefaultParagraphFont"/>
    <w:link w:val="TWLHeading3"/>
    <w:rsid w:val="006505B2"/>
    <w:rPr>
      <w:rFonts w:ascii="Arial" w:eastAsia="Times" w:hAnsi="Arial"/>
      <w:sz w:val="22"/>
      <w:lang w:val="en-AU" w:eastAsia="en-GB"/>
    </w:rPr>
  </w:style>
  <w:style w:type="character" w:customStyle="1" w:styleId="UnresolvedMention1">
    <w:name w:val="Unresolved Mention1"/>
    <w:basedOn w:val="DefaultParagraphFont"/>
    <w:uiPriority w:val="99"/>
    <w:rsid w:val="003B57B4"/>
    <w:rPr>
      <w:color w:val="605E5C"/>
      <w:shd w:val="clear" w:color="auto" w:fill="E1DFDD"/>
    </w:rPr>
  </w:style>
  <w:style w:type="character" w:styleId="FollowedHyperlink">
    <w:name w:val="FollowedHyperlink"/>
    <w:basedOn w:val="DefaultParagraphFont"/>
    <w:uiPriority w:val="99"/>
    <w:semiHidden/>
    <w:unhideWhenUsed/>
    <w:rsid w:val="00D63E55"/>
    <w:rPr>
      <w:color w:val="954F72" w:themeColor="followedHyperlink"/>
      <w:u w:val="single"/>
    </w:rPr>
  </w:style>
  <w:style w:type="character" w:customStyle="1" w:styleId="TWLTOCHeading">
    <w:name w:val="TWL TOC Heading"/>
    <w:basedOn w:val="DefaultParagraphFont"/>
    <w:rsid w:val="00614550"/>
    <w:rPr>
      <w:rFonts w:ascii="Arial" w:hAnsi="Arial"/>
      <w:color w:val="808080"/>
      <w:sz w:val="36"/>
      <w:u w:val="none"/>
    </w:rPr>
  </w:style>
  <w:style w:type="paragraph" w:customStyle="1" w:styleId="TWLHeading1CAPS">
    <w:name w:val="TWL Heading 1 (CAPS)"/>
    <w:basedOn w:val="Normal"/>
    <w:autoRedefine/>
    <w:rsid w:val="00A2705D"/>
    <w:pPr>
      <w:keepNext/>
      <w:spacing w:before="0" w:after="0" w:line="380" w:lineRule="exact"/>
    </w:pPr>
    <w:rPr>
      <w:rFonts w:eastAsia="Times"/>
      <w:b/>
      <w:bCs/>
      <w:caps/>
      <w:color w:val="000000"/>
      <w:szCs w:val="20"/>
      <w:lang w:eastAsia="en-GB"/>
    </w:rPr>
  </w:style>
  <w:style w:type="paragraph" w:customStyle="1" w:styleId="TWLHeading2">
    <w:name w:val="TWL Heading 2"/>
    <w:basedOn w:val="Normal"/>
    <w:rsid w:val="00614550"/>
    <w:pPr>
      <w:spacing w:before="60" w:after="0" w:line="380" w:lineRule="exact"/>
    </w:pPr>
    <w:rPr>
      <w:rFonts w:eastAsia="Times"/>
      <w:b/>
      <w:color w:val="000000"/>
      <w:szCs w:val="20"/>
      <w:lang w:eastAsia="en-GB"/>
    </w:rPr>
  </w:style>
  <w:style w:type="character" w:customStyle="1" w:styleId="TWLTableHeading">
    <w:name w:val="TWL Table Heading"/>
    <w:basedOn w:val="TWLTOCHeading"/>
    <w:rsid w:val="00614550"/>
    <w:rPr>
      <w:rFonts w:ascii="Arial" w:hAnsi="Arial"/>
      <w:color w:val="808080"/>
      <w:sz w:val="36"/>
      <w:u w:val="none"/>
    </w:rPr>
  </w:style>
  <w:style w:type="paragraph" w:customStyle="1" w:styleId="TWLBody">
    <w:name w:val="TWL Body"/>
    <w:basedOn w:val="Normal"/>
    <w:link w:val="TWLBodyChar"/>
    <w:autoRedefine/>
    <w:rsid w:val="00614550"/>
    <w:pPr>
      <w:tabs>
        <w:tab w:val="left" w:pos="567"/>
        <w:tab w:val="right" w:pos="8789"/>
      </w:tabs>
    </w:pPr>
    <w:rPr>
      <w:rFonts w:eastAsia="Times"/>
      <w:szCs w:val="20"/>
      <w:lang w:eastAsia="en-GB"/>
    </w:rPr>
  </w:style>
  <w:style w:type="paragraph" w:customStyle="1" w:styleId="TWLBullets">
    <w:name w:val="TWL Bullets"/>
    <w:basedOn w:val="Normal"/>
    <w:autoRedefine/>
    <w:rsid w:val="00614550"/>
    <w:pPr>
      <w:keepNext/>
      <w:numPr>
        <w:numId w:val="8"/>
      </w:numPr>
      <w:tabs>
        <w:tab w:val="left" w:pos="284"/>
      </w:tabs>
      <w:spacing w:before="60" w:after="60"/>
    </w:pPr>
    <w:rPr>
      <w:rFonts w:eastAsia="Times New Roman"/>
      <w:szCs w:val="20"/>
      <w:lang w:val="en-US" w:eastAsia="en-GB"/>
    </w:rPr>
  </w:style>
  <w:style w:type="character" w:customStyle="1" w:styleId="TWLBodyChar">
    <w:name w:val="TWL Body Char"/>
    <w:basedOn w:val="DefaultParagraphFont"/>
    <w:link w:val="TWLBody"/>
    <w:rsid w:val="00614550"/>
    <w:rPr>
      <w:rFonts w:ascii="Arial" w:eastAsia="Times" w:hAnsi="Arial"/>
      <w:sz w:val="22"/>
      <w:lang w:val="en-AU" w:eastAsia="en-GB"/>
    </w:rPr>
  </w:style>
  <w:style w:type="paragraph" w:styleId="TOCHeading">
    <w:name w:val="TOC Heading"/>
    <w:basedOn w:val="Heading1"/>
    <w:next w:val="Normal"/>
    <w:uiPriority w:val="39"/>
    <w:unhideWhenUsed/>
    <w:qFormat/>
    <w:rsid w:val="00614550"/>
    <w:pPr>
      <w:keepLines/>
      <w:numPr>
        <w:numId w:val="0"/>
      </w:numPr>
      <w:spacing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customStyle="1" w:styleId="TableListBullet2">
    <w:name w:val="Table List Bullet 2"/>
    <w:basedOn w:val="Normal"/>
    <w:rsid w:val="00C02362"/>
    <w:pPr>
      <w:numPr>
        <w:ilvl w:val="1"/>
        <w:numId w:val="8"/>
      </w:numPr>
      <w:tabs>
        <w:tab w:val="clear" w:pos="1440"/>
      </w:tabs>
      <w:ind w:left="748" w:hanging="357"/>
    </w:pPr>
    <w:rPr>
      <w:rFonts w:eastAsia="Times"/>
      <w:sz w:val="20"/>
      <w:szCs w:val="20"/>
      <w:lang w:eastAsia="en-GB"/>
    </w:rPr>
  </w:style>
  <w:style w:type="paragraph" w:styleId="Quote">
    <w:name w:val="Quote"/>
    <w:basedOn w:val="Normal"/>
    <w:next w:val="Normal"/>
    <w:link w:val="QuoteChar"/>
    <w:uiPriority w:val="29"/>
    <w:qFormat/>
    <w:rsid w:val="00614550"/>
    <w:pPr>
      <w:spacing w:before="200" w:after="160"/>
      <w:ind w:left="284" w:right="276"/>
      <w:jc w:val="center"/>
    </w:pPr>
    <w:rPr>
      <w:rFonts w:eastAsia="Times"/>
      <w:i/>
      <w:iCs/>
      <w:color w:val="404040" w:themeColor="text1" w:themeTint="BF"/>
      <w:szCs w:val="20"/>
      <w:lang w:eastAsia="en-GB"/>
    </w:rPr>
  </w:style>
  <w:style w:type="character" w:customStyle="1" w:styleId="QuoteChar">
    <w:name w:val="Quote Char"/>
    <w:basedOn w:val="DefaultParagraphFont"/>
    <w:link w:val="Quote"/>
    <w:uiPriority w:val="29"/>
    <w:rsid w:val="00614550"/>
    <w:rPr>
      <w:rFonts w:ascii="Arial" w:eastAsia="Times" w:hAnsi="Arial"/>
      <w:i/>
      <w:iCs/>
      <w:color w:val="404040" w:themeColor="text1" w:themeTint="BF"/>
      <w:sz w:val="22"/>
      <w:lang w:val="en-AU" w:eastAsia="en-GB"/>
    </w:rPr>
  </w:style>
  <w:style w:type="paragraph" w:styleId="TOC2">
    <w:name w:val="toc 2"/>
    <w:basedOn w:val="Normal"/>
    <w:next w:val="Normal"/>
    <w:autoRedefine/>
    <w:uiPriority w:val="39"/>
    <w:unhideWhenUsed/>
    <w:rsid w:val="00544388"/>
    <w:pPr>
      <w:tabs>
        <w:tab w:val="right" w:leader="dot" w:pos="9621"/>
      </w:tabs>
      <w:spacing w:after="100"/>
      <w:ind w:left="567"/>
    </w:pPr>
  </w:style>
  <w:style w:type="paragraph" w:styleId="TOC1">
    <w:name w:val="toc 1"/>
    <w:basedOn w:val="Normal"/>
    <w:next w:val="Normal"/>
    <w:autoRedefine/>
    <w:uiPriority w:val="39"/>
    <w:unhideWhenUsed/>
    <w:rsid w:val="005310FD"/>
    <w:pPr>
      <w:tabs>
        <w:tab w:val="left" w:pos="284"/>
        <w:tab w:val="right" w:leader="dot" w:pos="9621"/>
      </w:tabs>
      <w:spacing w:after="100"/>
    </w:pPr>
  </w:style>
  <w:style w:type="paragraph" w:styleId="TOC3">
    <w:name w:val="toc 3"/>
    <w:basedOn w:val="Normal"/>
    <w:next w:val="Normal"/>
    <w:autoRedefine/>
    <w:uiPriority w:val="39"/>
    <w:unhideWhenUsed/>
    <w:rsid w:val="00A72FA5"/>
    <w:pPr>
      <w:tabs>
        <w:tab w:val="left" w:pos="851"/>
        <w:tab w:val="right" w:leader="dot" w:pos="9621"/>
      </w:tabs>
      <w:spacing w:after="100"/>
      <w:ind w:left="1418"/>
    </w:pPr>
  </w:style>
  <w:style w:type="paragraph" w:styleId="NoSpacing">
    <w:name w:val="No Spacing"/>
    <w:link w:val="NoSpacingChar"/>
    <w:uiPriority w:val="1"/>
    <w:qFormat/>
    <w:rsid w:val="00F84E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84EC7"/>
    <w:rPr>
      <w:rFonts w:asciiTheme="minorHAnsi" w:eastAsiaTheme="minorEastAsia" w:hAnsiTheme="minorHAnsi" w:cstheme="minorBidi"/>
      <w:sz w:val="22"/>
      <w:szCs w:val="22"/>
    </w:rPr>
  </w:style>
  <w:style w:type="paragraph" w:customStyle="1" w:styleId="Tablelistnumber">
    <w:name w:val="Table list number"/>
    <w:basedOn w:val="ListNumber"/>
    <w:qFormat/>
    <w:rsid w:val="00617C0E"/>
    <w:pPr>
      <w:numPr>
        <w:numId w:val="3"/>
      </w:numPr>
    </w:pPr>
    <w:rPr>
      <w:sz w:val="20"/>
      <w:szCs w:val="20"/>
    </w:rPr>
  </w:style>
  <w:style w:type="character" w:customStyle="1" w:styleId="UnresolvedMention2">
    <w:name w:val="Unresolved Mention2"/>
    <w:basedOn w:val="DefaultParagraphFont"/>
    <w:uiPriority w:val="99"/>
    <w:rsid w:val="00016591"/>
    <w:rPr>
      <w:color w:val="605E5C"/>
      <w:shd w:val="clear" w:color="auto" w:fill="E1DFDD"/>
    </w:rPr>
  </w:style>
  <w:style w:type="paragraph" w:customStyle="1" w:styleId="BodyT">
    <w:name w:val="Body T"/>
    <w:basedOn w:val="BodyText"/>
    <w:uiPriority w:val="99"/>
    <w:qFormat/>
    <w:rsid w:val="00536E0E"/>
    <w:pPr>
      <w:jc w:val="both"/>
    </w:pPr>
  </w:style>
  <w:style w:type="paragraph" w:styleId="BodyText">
    <w:name w:val="Body Text"/>
    <w:basedOn w:val="Normal"/>
    <w:link w:val="BodyTextChar"/>
    <w:uiPriority w:val="99"/>
    <w:semiHidden/>
    <w:unhideWhenUsed/>
    <w:rsid w:val="00536E0E"/>
  </w:style>
  <w:style w:type="character" w:customStyle="1" w:styleId="BodyTextChar">
    <w:name w:val="Body Text Char"/>
    <w:basedOn w:val="DefaultParagraphFont"/>
    <w:link w:val="BodyText"/>
    <w:uiPriority w:val="99"/>
    <w:semiHidden/>
    <w:rsid w:val="00536E0E"/>
    <w:rPr>
      <w:rFonts w:ascii="Arial" w:eastAsia="Cambria" w:hAnsi="Arial"/>
      <w:sz w:val="22"/>
      <w:szCs w:val="22"/>
      <w:lang w:val="en-AU"/>
    </w:rPr>
  </w:style>
  <w:style w:type="character" w:customStyle="1" w:styleId="word">
    <w:name w:val="word"/>
    <w:basedOn w:val="DefaultParagraphFont"/>
    <w:rsid w:val="00C358C4"/>
  </w:style>
  <w:style w:type="paragraph" w:customStyle="1" w:styleId="TableListBullet1">
    <w:name w:val="Table List Bullet 1"/>
    <w:basedOn w:val="TableListBullet2"/>
    <w:qFormat/>
    <w:rsid w:val="00C02362"/>
  </w:style>
  <w:style w:type="character" w:customStyle="1" w:styleId="UnresolvedMention3">
    <w:name w:val="Unresolved Mention3"/>
    <w:basedOn w:val="DefaultParagraphFont"/>
    <w:uiPriority w:val="99"/>
    <w:rsid w:val="00445087"/>
    <w:rPr>
      <w:color w:val="605E5C"/>
      <w:shd w:val="clear" w:color="auto" w:fill="E1DFDD"/>
    </w:rPr>
  </w:style>
  <w:style w:type="character" w:customStyle="1" w:styleId="TableTextChar">
    <w:name w:val="Table Text Char"/>
    <w:link w:val="TableText"/>
    <w:rsid w:val="006E37E8"/>
    <w:rPr>
      <w:rFonts w:ascii="Arial" w:hAnsi="Arial"/>
      <w:lang w:val="en-AU"/>
    </w:rPr>
  </w:style>
  <w:style w:type="table" w:customStyle="1" w:styleId="ListTable4-Accent11">
    <w:name w:val="List Table 4 - Accent 11"/>
    <w:basedOn w:val="TableNormal"/>
    <w:uiPriority w:val="49"/>
    <w:rsid w:val="006E37E8"/>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ocumentControlHeading1">
    <w:name w:val="Document Control Heading 1"/>
    <w:basedOn w:val="Normal"/>
    <w:qFormat/>
    <w:rsid w:val="008B64C2"/>
    <w:pPr>
      <w:spacing w:before="240"/>
    </w:pPr>
    <w:rPr>
      <w:rFonts w:cs="Arial"/>
      <w:color w:val="122250"/>
      <w:sz w:val="40"/>
    </w:rPr>
  </w:style>
  <w:style w:type="paragraph" w:customStyle="1" w:styleId="Picture">
    <w:name w:val="Picture"/>
    <w:basedOn w:val="Normal"/>
    <w:qFormat/>
    <w:rsid w:val="003C1A02"/>
    <w:pPr>
      <w:spacing w:after="240"/>
    </w:pPr>
    <w:rPr>
      <w:noProof/>
    </w:rPr>
  </w:style>
  <w:style w:type="character" w:customStyle="1" w:styleId="UnresolvedMention4">
    <w:name w:val="Unresolved Mention4"/>
    <w:basedOn w:val="DefaultParagraphFont"/>
    <w:uiPriority w:val="99"/>
    <w:rsid w:val="00DD4AC8"/>
    <w:rPr>
      <w:color w:val="605E5C"/>
      <w:shd w:val="clear" w:color="auto" w:fill="E1DFDD"/>
    </w:rPr>
  </w:style>
  <w:style w:type="character" w:styleId="UnresolvedMention">
    <w:name w:val="Unresolved Mention"/>
    <w:basedOn w:val="DefaultParagraphFont"/>
    <w:uiPriority w:val="99"/>
    <w:rsid w:val="0077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923">
      <w:bodyDiv w:val="1"/>
      <w:marLeft w:val="0"/>
      <w:marRight w:val="0"/>
      <w:marTop w:val="0"/>
      <w:marBottom w:val="0"/>
      <w:divBdr>
        <w:top w:val="none" w:sz="0" w:space="0" w:color="auto"/>
        <w:left w:val="none" w:sz="0" w:space="0" w:color="auto"/>
        <w:bottom w:val="none" w:sz="0" w:space="0" w:color="auto"/>
        <w:right w:val="none" w:sz="0" w:space="0" w:color="auto"/>
      </w:divBdr>
    </w:div>
    <w:div w:id="161817375">
      <w:bodyDiv w:val="1"/>
      <w:marLeft w:val="0"/>
      <w:marRight w:val="0"/>
      <w:marTop w:val="0"/>
      <w:marBottom w:val="0"/>
      <w:divBdr>
        <w:top w:val="none" w:sz="0" w:space="0" w:color="auto"/>
        <w:left w:val="none" w:sz="0" w:space="0" w:color="auto"/>
        <w:bottom w:val="none" w:sz="0" w:space="0" w:color="auto"/>
        <w:right w:val="none" w:sz="0" w:space="0" w:color="auto"/>
      </w:divBdr>
    </w:div>
    <w:div w:id="187842113">
      <w:bodyDiv w:val="1"/>
      <w:marLeft w:val="0"/>
      <w:marRight w:val="0"/>
      <w:marTop w:val="0"/>
      <w:marBottom w:val="0"/>
      <w:divBdr>
        <w:top w:val="none" w:sz="0" w:space="0" w:color="auto"/>
        <w:left w:val="none" w:sz="0" w:space="0" w:color="auto"/>
        <w:bottom w:val="none" w:sz="0" w:space="0" w:color="auto"/>
        <w:right w:val="none" w:sz="0" w:space="0" w:color="auto"/>
      </w:divBdr>
    </w:div>
    <w:div w:id="429668481">
      <w:bodyDiv w:val="1"/>
      <w:marLeft w:val="0"/>
      <w:marRight w:val="0"/>
      <w:marTop w:val="0"/>
      <w:marBottom w:val="0"/>
      <w:divBdr>
        <w:top w:val="none" w:sz="0" w:space="0" w:color="auto"/>
        <w:left w:val="none" w:sz="0" w:space="0" w:color="auto"/>
        <w:bottom w:val="none" w:sz="0" w:space="0" w:color="auto"/>
        <w:right w:val="none" w:sz="0" w:space="0" w:color="auto"/>
      </w:divBdr>
    </w:div>
    <w:div w:id="506790976">
      <w:bodyDiv w:val="1"/>
      <w:marLeft w:val="0"/>
      <w:marRight w:val="0"/>
      <w:marTop w:val="0"/>
      <w:marBottom w:val="0"/>
      <w:divBdr>
        <w:top w:val="none" w:sz="0" w:space="0" w:color="auto"/>
        <w:left w:val="none" w:sz="0" w:space="0" w:color="auto"/>
        <w:bottom w:val="none" w:sz="0" w:space="0" w:color="auto"/>
        <w:right w:val="none" w:sz="0" w:space="0" w:color="auto"/>
      </w:divBdr>
      <w:divsChild>
        <w:div w:id="101465016">
          <w:marLeft w:val="547"/>
          <w:marRight w:val="0"/>
          <w:marTop w:val="60"/>
          <w:marBottom w:val="60"/>
          <w:divBdr>
            <w:top w:val="none" w:sz="0" w:space="0" w:color="auto"/>
            <w:left w:val="none" w:sz="0" w:space="0" w:color="auto"/>
            <w:bottom w:val="none" w:sz="0" w:space="0" w:color="auto"/>
            <w:right w:val="none" w:sz="0" w:space="0" w:color="auto"/>
          </w:divBdr>
        </w:div>
      </w:divsChild>
    </w:div>
    <w:div w:id="582833164">
      <w:bodyDiv w:val="1"/>
      <w:marLeft w:val="0"/>
      <w:marRight w:val="0"/>
      <w:marTop w:val="0"/>
      <w:marBottom w:val="0"/>
      <w:divBdr>
        <w:top w:val="none" w:sz="0" w:space="0" w:color="auto"/>
        <w:left w:val="none" w:sz="0" w:space="0" w:color="auto"/>
        <w:bottom w:val="none" w:sz="0" w:space="0" w:color="auto"/>
        <w:right w:val="none" w:sz="0" w:space="0" w:color="auto"/>
      </w:divBdr>
      <w:divsChild>
        <w:div w:id="938413281">
          <w:marLeft w:val="547"/>
          <w:marRight w:val="0"/>
          <w:marTop w:val="0"/>
          <w:marBottom w:val="0"/>
          <w:divBdr>
            <w:top w:val="none" w:sz="0" w:space="0" w:color="auto"/>
            <w:left w:val="none" w:sz="0" w:space="0" w:color="auto"/>
            <w:bottom w:val="none" w:sz="0" w:space="0" w:color="auto"/>
            <w:right w:val="none" w:sz="0" w:space="0" w:color="auto"/>
          </w:divBdr>
        </w:div>
      </w:divsChild>
    </w:div>
    <w:div w:id="728501026">
      <w:bodyDiv w:val="1"/>
      <w:marLeft w:val="0"/>
      <w:marRight w:val="0"/>
      <w:marTop w:val="0"/>
      <w:marBottom w:val="0"/>
      <w:divBdr>
        <w:top w:val="none" w:sz="0" w:space="0" w:color="auto"/>
        <w:left w:val="none" w:sz="0" w:space="0" w:color="auto"/>
        <w:bottom w:val="none" w:sz="0" w:space="0" w:color="auto"/>
        <w:right w:val="none" w:sz="0" w:space="0" w:color="auto"/>
      </w:divBdr>
      <w:divsChild>
        <w:div w:id="884607855">
          <w:marLeft w:val="547"/>
          <w:marRight w:val="0"/>
          <w:marTop w:val="0"/>
          <w:marBottom w:val="0"/>
          <w:divBdr>
            <w:top w:val="none" w:sz="0" w:space="0" w:color="auto"/>
            <w:left w:val="none" w:sz="0" w:space="0" w:color="auto"/>
            <w:bottom w:val="none" w:sz="0" w:space="0" w:color="auto"/>
            <w:right w:val="none" w:sz="0" w:space="0" w:color="auto"/>
          </w:divBdr>
        </w:div>
      </w:divsChild>
    </w:div>
    <w:div w:id="847058130">
      <w:bodyDiv w:val="1"/>
      <w:marLeft w:val="0"/>
      <w:marRight w:val="0"/>
      <w:marTop w:val="0"/>
      <w:marBottom w:val="0"/>
      <w:divBdr>
        <w:top w:val="none" w:sz="0" w:space="0" w:color="auto"/>
        <w:left w:val="none" w:sz="0" w:space="0" w:color="auto"/>
        <w:bottom w:val="none" w:sz="0" w:space="0" w:color="auto"/>
        <w:right w:val="none" w:sz="0" w:space="0" w:color="auto"/>
      </w:divBdr>
      <w:divsChild>
        <w:div w:id="136455362">
          <w:marLeft w:val="547"/>
          <w:marRight w:val="0"/>
          <w:marTop w:val="0"/>
          <w:marBottom w:val="0"/>
          <w:divBdr>
            <w:top w:val="none" w:sz="0" w:space="0" w:color="auto"/>
            <w:left w:val="none" w:sz="0" w:space="0" w:color="auto"/>
            <w:bottom w:val="none" w:sz="0" w:space="0" w:color="auto"/>
            <w:right w:val="none" w:sz="0" w:space="0" w:color="auto"/>
          </w:divBdr>
        </w:div>
      </w:divsChild>
    </w:div>
    <w:div w:id="886188015">
      <w:bodyDiv w:val="1"/>
      <w:marLeft w:val="0"/>
      <w:marRight w:val="0"/>
      <w:marTop w:val="0"/>
      <w:marBottom w:val="0"/>
      <w:divBdr>
        <w:top w:val="none" w:sz="0" w:space="0" w:color="auto"/>
        <w:left w:val="none" w:sz="0" w:space="0" w:color="auto"/>
        <w:bottom w:val="none" w:sz="0" w:space="0" w:color="auto"/>
        <w:right w:val="none" w:sz="0" w:space="0" w:color="auto"/>
      </w:divBdr>
    </w:div>
    <w:div w:id="915675542">
      <w:bodyDiv w:val="1"/>
      <w:marLeft w:val="0"/>
      <w:marRight w:val="0"/>
      <w:marTop w:val="0"/>
      <w:marBottom w:val="0"/>
      <w:divBdr>
        <w:top w:val="none" w:sz="0" w:space="0" w:color="auto"/>
        <w:left w:val="none" w:sz="0" w:space="0" w:color="auto"/>
        <w:bottom w:val="none" w:sz="0" w:space="0" w:color="auto"/>
        <w:right w:val="none" w:sz="0" w:space="0" w:color="auto"/>
      </w:divBdr>
    </w:div>
    <w:div w:id="1148402471">
      <w:bodyDiv w:val="1"/>
      <w:marLeft w:val="0"/>
      <w:marRight w:val="0"/>
      <w:marTop w:val="0"/>
      <w:marBottom w:val="0"/>
      <w:divBdr>
        <w:top w:val="none" w:sz="0" w:space="0" w:color="auto"/>
        <w:left w:val="none" w:sz="0" w:space="0" w:color="auto"/>
        <w:bottom w:val="none" w:sz="0" w:space="0" w:color="auto"/>
        <w:right w:val="none" w:sz="0" w:space="0" w:color="auto"/>
      </w:divBdr>
    </w:div>
    <w:div w:id="1338121598">
      <w:bodyDiv w:val="1"/>
      <w:marLeft w:val="0"/>
      <w:marRight w:val="0"/>
      <w:marTop w:val="0"/>
      <w:marBottom w:val="0"/>
      <w:divBdr>
        <w:top w:val="none" w:sz="0" w:space="0" w:color="auto"/>
        <w:left w:val="none" w:sz="0" w:space="0" w:color="auto"/>
        <w:bottom w:val="none" w:sz="0" w:space="0" w:color="auto"/>
        <w:right w:val="none" w:sz="0" w:space="0" w:color="auto"/>
      </w:divBdr>
    </w:div>
    <w:div w:id="1361127195">
      <w:bodyDiv w:val="1"/>
      <w:marLeft w:val="0"/>
      <w:marRight w:val="0"/>
      <w:marTop w:val="0"/>
      <w:marBottom w:val="0"/>
      <w:divBdr>
        <w:top w:val="none" w:sz="0" w:space="0" w:color="auto"/>
        <w:left w:val="none" w:sz="0" w:space="0" w:color="auto"/>
        <w:bottom w:val="none" w:sz="0" w:space="0" w:color="auto"/>
        <w:right w:val="none" w:sz="0" w:space="0" w:color="auto"/>
      </w:divBdr>
      <w:divsChild>
        <w:div w:id="1739551831">
          <w:marLeft w:val="547"/>
          <w:marRight w:val="0"/>
          <w:marTop w:val="0"/>
          <w:marBottom w:val="0"/>
          <w:divBdr>
            <w:top w:val="none" w:sz="0" w:space="0" w:color="auto"/>
            <w:left w:val="none" w:sz="0" w:space="0" w:color="auto"/>
            <w:bottom w:val="none" w:sz="0" w:space="0" w:color="auto"/>
            <w:right w:val="none" w:sz="0" w:space="0" w:color="auto"/>
          </w:divBdr>
        </w:div>
      </w:divsChild>
    </w:div>
    <w:div w:id="1380587778">
      <w:bodyDiv w:val="1"/>
      <w:marLeft w:val="0"/>
      <w:marRight w:val="0"/>
      <w:marTop w:val="0"/>
      <w:marBottom w:val="0"/>
      <w:divBdr>
        <w:top w:val="none" w:sz="0" w:space="0" w:color="auto"/>
        <w:left w:val="none" w:sz="0" w:space="0" w:color="auto"/>
        <w:bottom w:val="none" w:sz="0" w:space="0" w:color="auto"/>
        <w:right w:val="none" w:sz="0" w:space="0" w:color="auto"/>
      </w:divBdr>
    </w:div>
    <w:div w:id="1585919863">
      <w:bodyDiv w:val="1"/>
      <w:marLeft w:val="0"/>
      <w:marRight w:val="0"/>
      <w:marTop w:val="0"/>
      <w:marBottom w:val="0"/>
      <w:divBdr>
        <w:top w:val="none" w:sz="0" w:space="0" w:color="auto"/>
        <w:left w:val="none" w:sz="0" w:space="0" w:color="auto"/>
        <w:bottom w:val="none" w:sz="0" w:space="0" w:color="auto"/>
        <w:right w:val="none" w:sz="0" w:space="0" w:color="auto"/>
      </w:divBdr>
      <w:divsChild>
        <w:div w:id="343438653">
          <w:marLeft w:val="547"/>
          <w:marRight w:val="0"/>
          <w:marTop w:val="0"/>
          <w:marBottom w:val="0"/>
          <w:divBdr>
            <w:top w:val="none" w:sz="0" w:space="0" w:color="auto"/>
            <w:left w:val="none" w:sz="0" w:space="0" w:color="auto"/>
            <w:bottom w:val="none" w:sz="0" w:space="0" w:color="auto"/>
            <w:right w:val="none" w:sz="0" w:space="0" w:color="auto"/>
          </w:divBdr>
        </w:div>
      </w:divsChild>
    </w:div>
    <w:div w:id="1606959687">
      <w:bodyDiv w:val="1"/>
      <w:marLeft w:val="0"/>
      <w:marRight w:val="0"/>
      <w:marTop w:val="0"/>
      <w:marBottom w:val="0"/>
      <w:divBdr>
        <w:top w:val="none" w:sz="0" w:space="0" w:color="auto"/>
        <w:left w:val="none" w:sz="0" w:space="0" w:color="auto"/>
        <w:bottom w:val="none" w:sz="0" w:space="0" w:color="auto"/>
        <w:right w:val="none" w:sz="0" w:space="0" w:color="auto"/>
      </w:divBdr>
    </w:div>
    <w:div w:id="1650551909">
      <w:bodyDiv w:val="1"/>
      <w:marLeft w:val="0"/>
      <w:marRight w:val="0"/>
      <w:marTop w:val="0"/>
      <w:marBottom w:val="0"/>
      <w:divBdr>
        <w:top w:val="none" w:sz="0" w:space="0" w:color="auto"/>
        <w:left w:val="none" w:sz="0" w:space="0" w:color="auto"/>
        <w:bottom w:val="none" w:sz="0" w:space="0" w:color="auto"/>
        <w:right w:val="none" w:sz="0" w:space="0" w:color="auto"/>
      </w:divBdr>
    </w:div>
    <w:div w:id="1742747823">
      <w:bodyDiv w:val="1"/>
      <w:marLeft w:val="0"/>
      <w:marRight w:val="0"/>
      <w:marTop w:val="0"/>
      <w:marBottom w:val="0"/>
      <w:divBdr>
        <w:top w:val="none" w:sz="0" w:space="0" w:color="auto"/>
        <w:left w:val="none" w:sz="0" w:space="0" w:color="auto"/>
        <w:bottom w:val="none" w:sz="0" w:space="0" w:color="auto"/>
        <w:right w:val="none" w:sz="0" w:space="0" w:color="auto"/>
      </w:divBdr>
      <w:divsChild>
        <w:div w:id="219363615">
          <w:marLeft w:val="274"/>
          <w:marRight w:val="0"/>
          <w:marTop w:val="0"/>
          <w:marBottom w:val="0"/>
          <w:divBdr>
            <w:top w:val="none" w:sz="0" w:space="0" w:color="auto"/>
            <w:left w:val="none" w:sz="0" w:space="0" w:color="auto"/>
            <w:bottom w:val="none" w:sz="0" w:space="0" w:color="auto"/>
            <w:right w:val="none" w:sz="0" w:space="0" w:color="auto"/>
          </w:divBdr>
        </w:div>
      </w:divsChild>
    </w:div>
    <w:div w:id="1769345695">
      <w:bodyDiv w:val="1"/>
      <w:marLeft w:val="0"/>
      <w:marRight w:val="0"/>
      <w:marTop w:val="0"/>
      <w:marBottom w:val="0"/>
      <w:divBdr>
        <w:top w:val="none" w:sz="0" w:space="0" w:color="auto"/>
        <w:left w:val="none" w:sz="0" w:space="0" w:color="auto"/>
        <w:bottom w:val="none" w:sz="0" w:space="0" w:color="auto"/>
        <w:right w:val="none" w:sz="0" w:space="0" w:color="auto"/>
      </w:divBdr>
    </w:div>
    <w:div w:id="2012565803">
      <w:bodyDiv w:val="1"/>
      <w:marLeft w:val="0"/>
      <w:marRight w:val="0"/>
      <w:marTop w:val="0"/>
      <w:marBottom w:val="0"/>
      <w:divBdr>
        <w:top w:val="none" w:sz="0" w:space="0" w:color="auto"/>
        <w:left w:val="none" w:sz="0" w:space="0" w:color="auto"/>
        <w:bottom w:val="none" w:sz="0" w:space="0" w:color="auto"/>
        <w:right w:val="none" w:sz="0" w:space="0" w:color="auto"/>
      </w:divBdr>
    </w:div>
    <w:div w:id="21286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yperlink" Target="https://www.discovertasmania.com.au/about/regions-of-tasmania" TargetMode="External"/><Relationship Id="rId39" Type="http://schemas.openxmlformats.org/officeDocument/2006/relationships/hyperlink" Target="https://www.aisc.net.au/content/metalliferous-mining-industry-reference-committee" TargetMode="External"/><Relationship Id="rId21" Type="http://schemas.openxmlformats.org/officeDocument/2006/relationships/hyperlink" Target="http://www.oresomeresources.com/careers/" TargetMode="External"/><Relationship Id="rId34" Type="http://schemas.openxmlformats.org/officeDocument/2006/relationships/hyperlink" Target="https://www.business.gov.au/assistance/regional-employment-trials" TargetMode="External"/><Relationship Id="rId42" Type="http://schemas.openxmlformats.org/officeDocument/2006/relationships/hyperlink" Target="https://www.employment.gov.au/S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minerals.org.au/sites/default/files/More%20to%20Mining_website_magazine_Final_030719.pdf" TargetMode="External"/><Relationship Id="rId29" Type="http://schemas.openxmlformats.org/officeDocument/2006/relationships/hyperlink" Target="http://mineralsaustralasia.com/content/default.aspx?ID=147" TargetMode="External"/><Relationship Id="rId41" Type="http://schemas.openxmlformats.org/officeDocument/2006/relationships/hyperlink" Target="https://training.gov.au/Training/Details/R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usimm.com/community/women-in-mining-tas/" TargetMode="External"/><Relationship Id="rId32" Type="http://schemas.openxmlformats.org/officeDocument/2006/relationships/hyperlink" Target="https://www.dnrme.qld.gov.au/simtars/training/induction-courses" TargetMode="External"/><Relationship Id="rId37" Type="http://schemas.openxmlformats.org/officeDocument/2006/relationships/hyperlink" Target="https://www.tastafe.tas.edu.au/courses/course/certificate-i-in-access-to-vocational-pathways/" TargetMode="External"/><Relationship Id="rId40" Type="http://schemas.openxmlformats.org/officeDocument/2006/relationships/hyperlink" Target="https://www.aisc.net.au/content/coal-mining-industry-reference-committee"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beaconfoundation.com.au/" TargetMode="External"/><Relationship Id="rId28" Type="http://schemas.openxmlformats.org/officeDocument/2006/relationships/hyperlink" Target="https://www.makeittasmania.com.au/" TargetMode="External"/><Relationship Id="rId36" Type="http://schemas.openxmlformats.org/officeDocument/2006/relationships/hyperlink" Target="https://26ten.tas.gov.au/build-your-business/Pages/grants.aspx" TargetMode="External"/><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hyperlink" Target="https://www.tastafe.tas.edu.au/courses/course/timi-industry-mining-induc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getaminejob.com.au/" TargetMode="External"/><Relationship Id="rId27" Type="http://schemas.openxmlformats.org/officeDocument/2006/relationships/hyperlink" Target="https://www.westernwilds.com.au/" TargetMode="External"/><Relationship Id="rId30" Type="http://schemas.openxmlformats.org/officeDocument/2006/relationships/hyperlink" Target="https://www.humecoal.com.au/wp-content/uploads/2016/06/A-Guide-to-Jobs-Within-the-Mining-Industry.pdf" TargetMode="External"/><Relationship Id="rId35" Type="http://schemas.openxmlformats.org/officeDocument/2006/relationships/hyperlink" Target="https://www.skills.tas.gov.au/funding/alfund"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yperlink" Target="https://tasminerals.com.au/women-in-resources-awards-2019/" TargetMode="External"/><Relationship Id="rId33" Type="http://schemas.openxmlformats.org/officeDocument/2006/relationships/hyperlink" Target="https://www.skills.tas.gov.au/funding/skills_fund" TargetMode="External"/><Relationship Id="rId38" Type="http://schemas.openxmlformats.org/officeDocument/2006/relationships/hyperlink" Target="https://libraries.tas.gov.au/literacy/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Corporate%20Files\Templates\Blank%20badged%20document%20271117.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61B308-C23B-4A55-AAE3-FEB4FFFDDBEC}" type="doc">
      <dgm:prSet loTypeId="urn:microsoft.com/office/officeart/2005/8/layout/chevron1" loCatId="process" qsTypeId="urn:microsoft.com/office/officeart/2005/8/quickstyle/simple1" qsCatId="simple" csTypeId="urn:microsoft.com/office/officeart/2005/8/colors/colorful3" csCatId="colorful" phldr="1"/>
      <dgm:spPr/>
      <dgm:t>
        <a:bodyPr/>
        <a:lstStyle/>
        <a:p>
          <a:endParaRPr lang="en-AU"/>
        </a:p>
      </dgm:t>
    </dgm:pt>
    <dgm:pt modelId="{53A6BF4A-471B-40C9-A3E5-30EBBAC156D3}">
      <dgm:prSet phldrT="[Text]"/>
      <dgm:spPr/>
      <dgm:t>
        <a:bodyPr/>
        <a:lstStyle/>
        <a:p>
          <a:r>
            <a:rPr lang="en-AU"/>
            <a:t>Issues</a:t>
          </a:r>
        </a:p>
      </dgm:t>
    </dgm:pt>
    <dgm:pt modelId="{C4E6059B-1B19-4B2A-BF33-F3969AE7EDDE}" type="parTrans" cxnId="{965BF2F0-6A38-4221-B6AF-4D9E543F2E4C}">
      <dgm:prSet/>
      <dgm:spPr/>
      <dgm:t>
        <a:bodyPr/>
        <a:lstStyle/>
        <a:p>
          <a:endParaRPr lang="en-AU"/>
        </a:p>
      </dgm:t>
    </dgm:pt>
    <dgm:pt modelId="{17F088BF-C145-48B0-8507-7AFD1809DA09}" type="sibTrans" cxnId="{965BF2F0-6A38-4221-B6AF-4D9E543F2E4C}">
      <dgm:prSet/>
      <dgm:spPr/>
      <dgm:t>
        <a:bodyPr/>
        <a:lstStyle/>
        <a:p>
          <a:endParaRPr lang="en-AU"/>
        </a:p>
      </dgm:t>
    </dgm:pt>
    <dgm:pt modelId="{5C421C10-A82C-4E20-9304-471B0D6BFB59}">
      <dgm:prSet phldrT="[Text]"/>
      <dgm:spPr/>
      <dgm:t>
        <a:bodyPr/>
        <a:lstStyle/>
        <a:p>
          <a:r>
            <a:rPr lang="en-AU"/>
            <a:t>Identify workforce issues</a:t>
          </a:r>
        </a:p>
      </dgm:t>
    </dgm:pt>
    <dgm:pt modelId="{8C499DA9-A0EF-40E7-A8E4-782D6C0E37A5}" type="parTrans" cxnId="{4EE5FC24-EDEB-4D13-8962-FD497E649875}">
      <dgm:prSet/>
      <dgm:spPr/>
      <dgm:t>
        <a:bodyPr/>
        <a:lstStyle/>
        <a:p>
          <a:endParaRPr lang="en-AU"/>
        </a:p>
      </dgm:t>
    </dgm:pt>
    <dgm:pt modelId="{A5A5E48C-B8C9-46CD-ADDE-AC8BCE5CA221}" type="sibTrans" cxnId="{4EE5FC24-EDEB-4D13-8962-FD497E649875}">
      <dgm:prSet/>
      <dgm:spPr/>
      <dgm:t>
        <a:bodyPr/>
        <a:lstStyle/>
        <a:p>
          <a:endParaRPr lang="en-AU"/>
        </a:p>
      </dgm:t>
    </dgm:pt>
    <dgm:pt modelId="{F30187C7-C768-46C0-BEF0-1277B351EE3E}">
      <dgm:prSet phldrT="[Text]"/>
      <dgm:spPr/>
      <dgm:t>
        <a:bodyPr/>
        <a:lstStyle/>
        <a:p>
          <a:r>
            <a:rPr lang="en-AU"/>
            <a:t>Challenges</a:t>
          </a:r>
        </a:p>
      </dgm:t>
    </dgm:pt>
    <dgm:pt modelId="{EACFB8AD-C6F3-4650-BE6F-3C1F2BCA8BEB}" type="parTrans" cxnId="{43A5FDB6-088D-4134-A40F-E7FFAB3652A8}">
      <dgm:prSet/>
      <dgm:spPr/>
      <dgm:t>
        <a:bodyPr/>
        <a:lstStyle/>
        <a:p>
          <a:endParaRPr lang="en-AU"/>
        </a:p>
      </dgm:t>
    </dgm:pt>
    <dgm:pt modelId="{64C119FE-E398-4301-A0CA-7DC38D11BD66}" type="sibTrans" cxnId="{43A5FDB6-088D-4134-A40F-E7FFAB3652A8}">
      <dgm:prSet/>
      <dgm:spPr/>
      <dgm:t>
        <a:bodyPr/>
        <a:lstStyle/>
        <a:p>
          <a:endParaRPr lang="en-AU"/>
        </a:p>
      </dgm:t>
    </dgm:pt>
    <dgm:pt modelId="{E04ADF73-D345-41D9-9830-6B29FF67BA2A}">
      <dgm:prSet phldrT="[Text]"/>
      <dgm:spPr/>
      <dgm:t>
        <a:bodyPr/>
        <a:lstStyle/>
        <a:p>
          <a:r>
            <a:rPr lang="en-AU"/>
            <a:t>Identify challenges presented by issues</a:t>
          </a:r>
        </a:p>
      </dgm:t>
    </dgm:pt>
    <dgm:pt modelId="{31D4492A-F14E-4B91-938A-7A4B6F2B5EF5}" type="parTrans" cxnId="{9ADB07B4-B9A1-4A76-BC1C-E8FF4EBE7119}">
      <dgm:prSet/>
      <dgm:spPr/>
      <dgm:t>
        <a:bodyPr/>
        <a:lstStyle/>
        <a:p>
          <a:endParaRPr lang="en-AU"/>
        </a:p>
      </dgm:t>
    </dgm:pt>
    <dgm:pt modelId="{0A0ECFA7-A49C-4562-A0FE-0402705BA427}" type="sibTrans" cxnId="{9ADB07B4-B9A1-4A76-BC1C-E8FF4EBE7119}">
      <dgm:prSet/>
      <dgm:spPr/>
      <dgm:t>
        <a:bodyPr/>
        <a:lstStyle/>
        <a:p>
          <a:endParaRPr lang="en-AU"/>
        </a:p>
      </dgm:t>
    </dgm:pt>
    <dgm:pt modelId="{AED0C115-5553-4B25-BE5D-9BFA39BEA3FD}">
      <dgm:prSet phldrT="[Text]"/>
      <dgm:spPr/>
      <dgm:t>
        <a:bodyPr/>
        <a:lstStyle/>
        <a:p>
          <a:r>
            <a:rPr lang="en-AU"/>
            <a:t>Strategies</a:t>
          </a:r>
        </a:p>
      </dgm:t>
    </dgm:pt>
    <dgm:pt modelId="{1DB399A1-8CA6-4A12-A932-084BA1665FFB}" type="parTrans" cxnId="{3553AB90-118D-4A49-BCFA-4FD5BE114191}">
      <dgm:prSet/>
      <dgm:spPr/>
      <dgm:t>
        <a:bodyPr/>
        <a:lstStyle/>
        <a:p>
          <a:endParaRPr lang="en-AU"/>
        </a:p>
      </dgm:t>
    </dgm:pt>
    <dgm:pt modelId="{C66F70B8-E032-402B-BB3F-0653169B5860}" type="sibTrans" cxnId="{3553AB90-118D-4A49-BCFA-4FD5BE114191}">
      <dgm:prSet/>
      <dgm:spPr/>
      <dgm:t>
        <a:bodyPr/>
        <a:lstStyle/>
        <a:p>
          <a:endParaRPr lang="en-AU"/>
        </a:p>
      </dgm:t>
    </dgm:pt>
    <dgm:pt modelId="{87EF4C8D-7DA7-413F-89CB-364035B4B878}">
      <dgm:prSet phldrT="[Text]"/>
      <dgm:spPr/>
      <dgm:t>
        <a:bodyPr/>
        <a:lstStyle/>
        <a:p>
          <a:r>
            <a:rPr lang="en-AU"/>
            <a:t>Develop strategies to resolve challenges</a:t>
          </a:r>
        </a:p>
      </dgm:t>
    </dgm:pt>
    <dgm:pt modelId="{F35C50B7-4BA7-4B57-8CEA-31519ABE92CD}" type="parTrans" cxnId="{CDFE0103-C31B-4C35-8E79-E31E0D14051E}">
      <dgm:prSet/>
      <dgm:spPr/>
      <dgm:t>
        <a:bodyPr/>
        <a:lstStyle/>
        <a:p>
          <a:endParaRPr lang="en-AU"/>
        </a:p>
      </dgm:t>
    </dgm:pt>
    <dgm:pt modelId="{AA4540D6-1483-4D4E-A110-29F83854E9E4}" type="sibTrans" cxnId="{CDFE0103-C31B-4C35-8E79-E31E0D14051E}">
      <dgm:prSet/>
      <dgm:spPr/>
      <dgm:t>
        <a:bodyPr/>
        <a:lstStyle/>
        <a:p>
          <a:endParaRPr lang="en-AU"/>
        </a:p>
      </dgm:t>
    </dgm:pt>
    <dgm:pt modelId="{16FCD836-0A13-4E3F-AA03-D0FAA4330581}">
      <dgm:prSet phldrT="[Text]"/>
      <dgm:spPr/>
      <dgm:t>
        <a:bodyPr/>
        <a:lstStyle/>
        <a:p>
          <a:r>
            <a:rPr lang="en-AU"/>
            <a:t>Actions</a:t>
          </a:r>
        </a:p>
      </dgm:t>
    </dgm:pt>
    <dgm:pt modelId="{C3BB0609-40B3-43F4-8E42-D4C8F8DA63F6}" type="parTrans" cxnId="{5A35315B-268F-4A69-BD6D-E969159F8610}">
      <dgm:prSet/>
      <dgm:spPr/>
      <dgm:t>
        <a:bodyPr/>
        <a:lstStyle/>
        <a:p>
          <a:endParaRPr lang="en-AU"/>
        </a:p>
      </dgm:t>
    </dgm:pt>
    <dgm:pt modelId="{D9FDB787-AE1D-4DE8-BB88-DF2C2D051959}" type="sibTrans" cxnId="{5A35315B-268F-4A69-BD6D-E969159F8610}">
      <dgm:prSet/>
      <dgm:spPr/>
      <dgm:t>
        <a:bodyPr/>
        <a:lstStyle/>
        <a:p>
          <a:endParaRPr lang="en-AU"/>
        </a:p>
      </dgm:t>
    </dgm:pt>
    <dgm:pt modelId="{8B435F7E-6B46-46C0-B9D0-97FFD85C879C}">
      <dgm:prSet phldrT="[Text]"/>
      <dgm:spPr/>
      <dgm:t>
        <a:bodyPr/>
        <a:lstStyle/>
        <a:p>
          <a:r>
            <a:rPr lang="en-AU"/>
            <a:t>Develop actions and their responsibilities and timelines</a:t>
          </a:r>
        </a:p>
      </dgm:t>
    </dgm:pt>
    <dgm:pt modelId="{1380E768-BED7-4519-B1B7-8A0F3551F0F1}" type="parTrans" cxnId="{03911C7D-5AF5-4A0E-8E42-8DB741B81FF3}">
      <dgm:prSet/>
      <dgm:spPr/>
      <dgm:t>
        <a:bodyPr/>
        <a:lstStyle/>
        <a:p>
          <a:endParaRPr lang="en-AU"/>
        </a:p>
      </dgm:t>
    </dgm:pt>
    <dgm:pt modelId="{099DF4A2-2520-4B5E-BB04-1D5F09F5ADF3}" type="sibTrans" cxnId="{03911C7D-5AF5-4A0E-8E42-8DB741B81FF3}">
      <dgm:prSet/>
      <dgm:spPr/>
      <dgm:t>
        <a:bodyPr/>
        <a:lstStyle/>
        <a:p>
          <a:endParaRPr lang="en-AU"/>
        </a:p>
      </dgm:t>
    </dgm:pt>
    <dgm:pt modelId="{5EBCFA16-4B82-4B0E-B395-34AD9AF7E241}">
      <dgm:prSet phldrT="[Text]"/>
      <dgm:spPr/>
      <dgm:t>
        <a:bodyPr/>
        <a:lstStyle/>
        <a:p>
          <a:r>
            <a:rPr lang="en-AU"/>
            <a:t>Workforce Development Plan</a:t>
          </a:r>
        </a:p>
      </dgm:t>
    </dgm:pt>
    <dgm:pt modelId="{BA8E60AF-D077-4173-984D-B54D62FCC2F7}" type="parTrans" cxnId="{B422DC66-6DB0-493F-A7FF-FE8722173960}">
      <dgm:prSet/>
      <dgm:spPr/>
      <dgm:t>
        <a:bodyPr/>
        <a:lstStyle/>
        <a:p>
          <a:endParaRPr lang="en-AU"/>
        </a:p>
      </dgm:t>
    </dgm:pt>
    <dgm:pt modelId="{D7025A24-459E-4CC1-8C12-EEEFAFF59947}" type="sibTrans" cxnId="{B422DC66-6DB0-493F-A7FF-FE8722173960}">
      <dgm:prSet/>
      <dgm:spPr/>
      <dgm:t>
        <a:bodyPr/>
        <a:lstStyle/>
        <a:p>
          <a:endParaRPr lang="en-AU"/>
        </a:p>
      </dgm:t>
    </dgm:pt>
    <dgm:pt modelId="{6A9A7192-C600-451E-AE63-52E0A73547BF}">
      <dgm:prSet phldrT="[Text]"/>
      <dgm:spPr/>
      <dgm:t>
        <a:bodyPr/>
        <a:lstStyle/>
        <a:p>
          <a:r>
            <a:rPr lang="en-AU"/>
            <a:t>Document in WDP and gain stakeholder agreement</a:t>
          </a:r>
        </a:p>
      </dgm:t>
    </dgm:pt>
    <dgm:pt modelId="{9A87027D-E4E1-4D03-AB7A-DCE024291823}" type="parTrans" cxnId="{FC4DAB72-8B29-466C-A0A7-3A5F6AF88614}">
      <dgm:prSet/>
      <dgm:spPr/>
      <dgm:t>
        <a:bodyPr/>
        <a:lstStyle/>
        <a:p>
          <a:endParaRPr lang="en-AU"/>
        </a:p>
      </dgm:t>
    </dgm:pt>
    <dgm:pt modelId="{3A8F4A0B-AD69-4026-A48D-1C0339322AEE}" type="sibTrans" cxnId="{FC4DAB72-8B29-466C-A0A7-3A5F6AF88614}">
      <dgm:prSet/>
      <dgm:spPr/>
      <dgm:t>
        <a:bodyPr/>
        <a:lstStyle/>
        <a:p>
          <a:endParaRPr lang="en-AU"/>
        </a:p>
      </dgm:t>
    </dgm:pt>
    <dgm:pt modelId="{ABA2DB12-5650-496C-8E9F-B3FF0C87F99F}" type="pres">
      <dgm:prSet presAssocID="{5C61B308-C23B-4A55-AAE3-FEB4FFFDDBEC}" presName="Name0" presStyleCnt="0">
        <dgm:presLayoutVars>
          <dgm:dir/>
          <dgm:animLvl val="lvl"/>
          <dgm:resizeHandles val="exact"/>
        </dgm:presLayoutVars>
      </dgm:prSet>
      <dgm:spPr/>
    </dgm:pt>
    <dgm:pt modelId="{9BB002BF-45B5-447B-8E98-4A364170C82D}" type="pres">
      <dgm:prSet presAssocID="{53A6BF4A-471B-40C9-A3E5-30EBBAC156D3}" presName="composite" presStyleCnt="0"/>
      <dgm:spPr/>
    </dgm:pt>
    <dgm:pt modelId="{DD4F4F00-8B70-43E8-A48A-5433464BC7B2}" type="pres">
      <dgm:prSet presAssocID="{53A6BF4A-471B-40C9-A3E5-30EBBAC156D3}" presName="parTx" presStyleLbl="node1" presStyleIdx="0" presStyleCnt="5">
        <dgm:presLayoutVars>
          <dgm:chMax val="0"/>
          <dgm:chPref val="0"/>
          <dgm:bulletEnabled val="1"/>
        </dgm:presLayoutVars>
      </dgm:prSet>
      <dgm:spPr/>
    </dgm:pt>
    <dgm:pt modelId="{D0B6A621-AD66-402C-A14F-C228394FD830}" type="pres">
      <dgm:prSet presAssocID="{53A6BF4A-471B-40C9-A3E5-30EBBAC156D3}" presName="desTx" presStyleLbl="revTx" presStyleIdx="0" presStyleCnt="5">
        <dgm:presLayoutVars>
          <dgm:bulletEnabled val="1"/>
        </dgm:presLayoutVars>
      </dgm:prSet>
      <dgm:spPr/>
    </dgm:pt>
    <dgm:pt modelId="{0BB75826-5756-4022-985F-A8E0877150BC}" type="pres">
      <dgm:prSet presAssocID="{17F088BF-C145-48B0-8507-7AFD1809DA09}" presName="space" presStyleCnt="0"/>
      <dgm:spPr/>
    </dgm:pt>
    <dgm:pt modelId="{DB4AA3DF-65E6-4882-AE1C-DE8032A985AF}" type="pres">
      <dgm:prSet presAssocID="{F30187C7-C768-46C0-BEF0-1277B351EE3E}" presName="composite" presStyleCnt="0"/>
      <dgm:spPr/>
    </dgm:pt>
    <dgm:pt modelId="{8191EDF4-5B89-4251-81FC-1871BFAFECA7}" type="pres">
      <dgm:prSet presAssocID="{F30187C7-C768-46C0-BEF0-1277B351EE3E}" presName="parTx" presStyleLbl="node1" presStyleIdx="1" presStyleCnt="5">
        <dgm:presLayoutVars>
          <dgm:chMax val="0"/>
          <dgm:chPref val="0"/>
          <dgm:bulletEnabled val="1"/>
        </dgm:presLayoutVars>
      </dgm:prSet>
      <dgm:spPr/>
    </dgm:pt>
    <dgm:pt modelId="{C2E6E7AD-B883-4899-B360-C815718276B4}" type="pres">
      <dgm:prSet presAssocID="{F30187C7-C768-46C0-BEF0-1277B351EE3E}" presName="desTx" presStyleLbl="revTx" presStyleIdx="1" presStyleCnt="5">
        <dgm:presLayoutVars>
          <dgm:bulletEnabled val="1"/>
        </dgm:presLayoutVars>
      </dgm:prSet>
      <dgm:spPr/>
    </dgm:pt>
    <dgm:pt modelId="{DF6643BA-A7D1-4113-80DB-3644779D9383}" type="pres">
      <dgm:prSet presAssocID="{64C119FE-E398-4301-A0CA-7DC38D11BD66}" presName="space" presStyleCnt="0"/>
      <dgm:spPr/>
    </dgm:pt>
    <dgm:pt modelId="{C313B15D-4326-4811-AFE9-37A6459E0049}" type="pres">
      <dgm:prSet presAssocID="{AED0C115-5553-4B25-BE5D-9BFA39BEA3FD}" presName="composite" presStyleCnt="0"/>
      <dgm:spPr/>
    </dgm:pt>
    <dgm:pt modelId="{0C87C1BC-37D4-47EB-8B10-FF91E025108A}" type="pres">
      <dgm:prSet presAssocID="{AED0C115-5553-4B25-BE5D-9BFA39BEA3FD}" presName="parTx" presStyleLbl="node1" presStyleIdx="2" presStyleCnt="5">
        <dgm:presLayoutVars>
          <dgm:chMax val="0"/>
          <dgm:chPref val="0"/>
          <dgm:bulletEnabled val="1"/>
        </dgm:presLayoutVars>
      </dgm:prSet>
      <dgm:spPr/>
    </dgm:pt>
    <dgm:pt modelId="{ABA9AC45-0480-4EBC-8573-BC32C08FED79}" type="pres">
      <dgm:prSet presAssocID="{AED0C115-5553-4B25-BE5D-9BFA39BEA3FD}" presName="desTx" presStyleLbl="revTx" presStyleIdx="2" presStyleCnt="5">
        <dgm:presLayoutVars>
          <dgm:bulletEnabled val="1"/>
        </dgm:presLayoutVars>
      </dgm:prSet>
      <dgm:spPr/>
    </dgm:pt>
    <dgm:pt modelId="{719E513B-EB32-46B2-9EA5-36FC9AD205F9}" type="pres">
      <dgm:prSet presAssocID="{C66F70B8-E032-402B-BB3F-0653169B5860}" presName="space" presStyleCnt="0"/>
      <dgm:spPr/>
    </dgm:pt>
    <dgm:pt modelId="{7386B350-63C0-4F18-96E0-1D64D76B369D}" type="pres">
      <dgm:prSet presAssocID="{16FCD836-0A13-4E3F-AA03-D0FAA4330581}" presName="composite" presStyleCnt="0"/>
      <dgm:spPr/>
    </dgm:pt>
    <dgm:pt modelId="{384DA0F9-09BC-45C6-826D-FE8B1860896D}" type="pres">
      <dgm:prSet presAssocID="{16FCD836-0A13-4E3F-AA03-D0FAA4330581}" presName="parTx" presStyleLbl="node1" presStyleIdx="3" presStyleCnt="5">
        <dgm:presLayoutVars>
          <dgm:chMax val="0"/>
          <dgm:chPref val="0"/>
          <dgm:bulletEnabled val="1"/>
        </dgm:presLayoutVars>
      </dgm:prSet>
      <dgm:spPr/>
    </dgm:pt>
    <dgm:pt modelId="{A2775510-E6AB-42B1-B2BC-030625AB558C}" type="pres">
      <dgm:prSet presAssocID="{16FCD836-0A13-4E3F-AA03-D0FAA4330581}" presName="desTx" presStyleLbl="revTx" presStyleIdx="3" presStyleCnt="5">
        <dgm:presLayoutVars>
          <dgm:bulletEnabled val="1"/>
        </dgm:presLayoutVars>
      </dgm:prSet>
      <dgm:spPr/>
    </dgm:pt>
    <dgm:pt modelId="{6ED42546-C31E-4676-947F-92FCCDE11371}" type="pres">
      <dgm:prSet presAssocID="{D9FDB787-AE1D-4DE8-BB88-DF2C2D051959}" presName="space" presStyleCnt="0"/>
      <dgm:spPr/>
    </dgm:pt>
    <dgm:pt modelId="{E313AFD2-81F3-439B-9891-44BBF2048BAD}" type="pres">
      <dgm:prSet presAssocID="{5EBCFA16-4B82-4B0E-B395-34AD9AF7E241}" presName="composite" presStyleCnt="0"/>
      <dgm:spPr/>
    </dgm:pt>
    <dgm:pt modelId="{E5FC1D80-DC42-4D68-B697-E0B341BBD071}" type="pres">
      <dgm:prSet presAssocID="{5EBCFA16-4B82-4B0E-B395-34AD9AF7E241}" presName="parTx" presStyleLbl="node1" presStyleIdx="4" presStyleCnt="5">
        <dgm:presLayoutVars>
          <dgm:chMax val="0"/>
          <dgm:chPref val="0"/>
          <dgm:bulletEnabled val="1"/>
        </dgm:presLayoutVars>
      </dgm:prSet>
      <dgm:spPr/>
    </dgm:pt>
    <dgm:pt modelId="{92778F66-4B3F-4127-BE90-18F1F6C30BBB}" type="pres">
      <dgm:prSet presAssocID="{5EBCFA16-4B82-4B0E-B395-34AD9AF7E241}" presName="desTx" presStyleLbl="revTx" presStyleIdx="4" presStyleCnt="5">
        <dgm:presLayoutVars>
          <dgm:bulletEnabled val="1"/>
        </dgm:presLayoutVars>
      </dgm:prSet>
      <dgm:spPr/>
    </dgm:pt>
  </dgm:ptLst>
  <dgm:cxnLst>
    <dgm:cxn modelId="{CDFE0103-C31B-4C35-8E79-E31E0D14051E}" srcId="{AED0C115-5553-4B25-BE5D-9BFA39BEA3FD}" destId="{87EF4C8D-7DA7-413F-89CB-364035B4B878}" srcOrd="0" destOrd="0" parTransId="{F35C50B7-4BA7-4B57-8CEA-31519ABE92CD}" sibTransId="{AA4540D6-1483-4D4E-A110-29F83854E9E4}"/>
    <dgm:cxn modelId="{482D2523-3E81-7E4A-A06C-32A60D72FDE1}" type="presOf" srcId="{6A9A7192-C600-451E-AE63-52E0A73547BF}" destId="{92778F66-4B3F-4127-BE90-18F1F6C30BBB}" srcOrd="0" destOrd="0" presId="urn:microsoft.com/office/officeart/2005/8/layout/chevron1"/>
    <dgm:cxn modelId="{4EE5FC24-EDEB-4D13-8962-FD497E649875}" srcId="{53A6BF4A-471B-40C9-A3E5-30EBBAC156D3}" destId="{5C421C10-A82C-4E20-9304-471B0D6BFB59}" srcOrd="0" destOrd="0" parTransId="{8C499DA9-A0EF-40E7-A8E4-782D6C0E37A5}" sibTransId="{A5A5E48C-B8C9-46CD-ADDE-AC8BCE5CA221}"/>
    <dgm:cxn modelId="{654CF53A-AEE9-504B-A413-E4CC657BAAB7}" type="presOf" srcId="{5EBCFA16-4B82-4B0E-B395-34AD9AF7E241}" destId="{E5FC1D80-DC42-4D68-B697-E0B341BBD071}" srcOrd="0" destOrd="0" presId="urn:microsoft.com/office/officeart/2005/8/layout/chevron1"/>
    <dgm:cxn modelId="{5A35315B-268F-4A69-BD6D-E969159F8610}" srcId="{5C61B308-C23B-4A55-AAE3-FEB4FFFDDBEC}" destId="{16FCD836-0A13-4E3F-AA03-D0FAA4330581}" srcOrd="3" destOrd="0" parTransId="{C3BB0609-40B3-43F4-8E42-D4C8F8DA63F6}" sibTransId="{D9FDB787-AE1D-4DE8-BB88-DF2C2D051959}"/>
    <dgm:cxn modelId="{27B26B62-DB85-7E40-A6E9-80AA120C5ECD}" type="presOf" srcId="{AED0C115-5553-4B25-BE5D-9BFA39BEA3FD}" destId="{0C87C1BC-37D4-47EB-8B10-FF91E025108A}" srcOrd="0" destOrd="0" presId="urn:microsoft.com/office/officeart/2005/8/layout/chevron1"/>
    <dgm:cxn modelId="{B422DC66-6DB0-493F-A7FF-FE8722173960}" srcId="{5C61B308-C23B-4A55-AAE3-FEB4FFFDDBEC}" destId="{5EBCFA16-4B82-4B0E-B395-34AD9AF7E241}" srcOrd="4" destOrd="0" parTransId="{BA8E60AF-D077-4173-984D-B54D62FCC2F7}" sibTransId="{D7025A24-459E-4CC1-8C12-EEEFAFF59947}"/>
    <dgm:cxn modelId="{19B28E72-C8CA-D84C-9586-1366F60D5F18}" type="presOf" srcId="{16FCD836-0A13-4E3F-AA03-D0FAA4330581}" destId="{384DA0F9-09BC-45C6-826D-FE8B1860896D}" srcOrd="0" destOrd="0" presId="urn:microsoft.com/office/officeart/2005/8/layout/chevron1"/>
    <dgm:cxn modelId="{FC4DAB72-8B29-466C-A0A7-3A5F6AF88614}" srcId="{5EBCFA16-4B82-4B0E-B395-34AD9AF7E241}" destId="{6A9A7192-C600-451E-AE63-52E0A73547BF}" srcOrd="0" destOrd="0" parTransId="{9A87027D-E4E1-4D03-AB7A-DCE024291823}" sibTransId="{3A8F4A0B-AD69-4026-A48D-1C0339322AEE}"/>
    <dgm:cxn modelId="{03911C7D-5AF5-4A0E-8E42-8DB741B81FF3}" srcId="{16FCD836-0A13-4E3F-AA03-D0FAA4330581}" destId="{8B435F7E-6B46-46C0-B9D0-97FFD85C879C}" srcOrd="0" destOrd="0" parTransId="{1380E768-BED7-4519-B1B7-8A0F3551F0F1}" sibTransId="{099DF4A2-2520-4B5E-BB04-1D5F09F5ADF3}"/>
    <dgm:cxn modelId="{C094358A-E692-CB46-B4A4-6DE24B072739}" type="presOf" srcId="{5C61B308-C23B-4A55-AAE3-FEB4FFFDDBEC}" destId="{ABA2DB12-5650-496C-8E9F-B3FF0C87F99F}" srcOrd="0" destOrd="0" presId="urn:microsoft.com/office/officeart/2005/8/layout/chevron1"/>
    <dgm:cxn modelId="{3553AB90-118D-4A49-BCFA-4FD5BE114191}" srcId="{5C61B308-C23B-4A55-AAE3-FEB4FFFDDBEC}" destId="{AED0C115-5553-4B25-BE5D-9BFA39BEA3FD}" srcOrd="2" destOrd="0" parTransId="{1DB399A1-8CA6-4A12-A932-084BA1665FFB}" sibTransId="{C66F70B8-E032-402B-BB3F-0653169B5860}"/>
    <dgm:cxn modelId="{CB1EF8B2-C00D-C14E-9378-795FF0548EC2}" type="presOf" srcId="{87EF4C8D-7DA7-413F-89CB-364035B4B878}" destId="{ABA9AC45-0480-4EBC-8573-BC32C08FED79}" srcOrd="0" destOrd="0" presId="urn:microsoft.com/office/officeart/2005/8/layout/chevron1"/>
    <dgm:cxn modelId="{9ADB07B4-B9A1-4A76-BC1C-E8FF4EBE7119}" srcId="{F30187C7-C768-46C0-BEF0-1277B351EE3E}" destId="{E04ADF73-D345-41D9-9830-6B29FF67BA2A}" srcOrd="0" destOrd="0" parTransId="{31D4492A-F14E-4B91-938A-7A4B6F2B5EF5}" sibTransId="{0A0ECFA7-A49C-4562-A0FE-0402705BA427}"/>
    <dgm:cxn modelId="{43A5FDB6-088D-4134-A40F-E7FFAB3652A8}" srcId="{5C61B308-C23B-4A55-AAE3-FEB4FFFDDBEC}" destId="{F30187C7-C768-46C0-BEF0-1277B351EE3E}" srcOrd="1" destOrd="0" parTransId="{EACFB8AD-C6F3-4650-BE6F-3C1F2BCA8BEB}" sibTransId="{64C119FE-E398-4301-A0CA-7DC38D11BD66}"/>
    <dgm:cxn modelId="{59D46FB9-0B35-DF4D-AEB6-4DFA3740DFDC}" type="presOf" srcId="{F30187C7-C768-46C0-BEF0-1277B351EE3E}" destId="{8191EDF4-5B89-4251-81FC-1871BFAFECA7}" srcOrd="0" destOrd="0" presId="urn:microsoft.com/office/officeart/2005/8/layout/chevron1"/>
    <dgm:cxn modelId="{0348DDC5-1888-7A41-BDF1-984569445031}" type="presOf" srcId="{53A6BF4A-471B-40C9-A3E5-30EBBAC156D3}" destId="{DD4F4F00-8B70-43E8-A48A-5433464BC7B2}" srcOrd="0" destOrd="0" presId="urn:microsoft.com/office/officeart/2005/8/layout/chevron1"/>
    <dgm:cxn modelId="{29FB48CF-A4CB-C44E-9663-431E686B9ECD}" type="presOf" srcId="{8B435F7E-6B46-46C0-B9D0-97FFD85C879C}" destId="{A2775510-E6AB-42B1-B2BC-030625AB558C}" srcOrd="0" destOrd="0" presId="urn:microsoft.com/office/officeart/2005/8/layout/chevron1"/>
    <dgm:cxn modelId="{C9C48ED6-500D-1E44-A8C7-5C6775BD071D}" type="presOf" srcId="{5C421C10-A82C-4E20-9304-471B0D6BFB59}" destId="{D0B6A621-AD66-402C-A14F-C228394FD830}" srcOrd="0" destOrd="0" presId="urn:microsoft.com/office/officeart/2005/8/layout/chevron1"/>
    <dgm:cxn modelId="{965BF2F0-6A38-4221-B6AF-4D9E543F2E4C}" srcId="{5C61B308-C23B-4A55-AAE3-FEB4FFFDDBEC}" destId="{53A6BF4A-471B-40C9-A3E5-30EBBAC156D3}" srcOrd="0" destOrd="0" parTransId="{C4E6059B-1B19-4B2A-BF33-F3969AE7EDDE}" sibTransId="{17F088BF-C145-48B0-8507-7AFD1809DA09}"/>
    <dgm:cxn modelId="{3585EAFE-D304-0345-8CEE-ADE4DCD07301}" type="presOf" srcId="{E04ADF73-D345-41D9-9830-6B29FF67BA2A}" destId="{C2E6E7AD-B883-4899-B360-C815718276B4}" srcOrd="0" destOrd="0" presId="urn:microsoft.com/office/officeart/2005/8/layout/chevron1"/>
    <dgm:cxn modelId="{794EDFD9-6B18-9543-883E-DEDB2A517637}" type="presParOf" srcId="{ABA2DB12-5650-496C-8E9F-B3FF0C87F99F}" destId="{9BB002BF-45B5-447B-8E98-4A364170C82D}" srcOrd="0" destOrd="0" presId="urn:microsoft.com/office/officeart/2005/8/layout/chevron1"/>
    <dgm:cxn modelId="{16F9CB06-D563-3F4D-988E-EFC4E3CB64A6}" type="presParOf" srcId="{9BB002BF-45B5-447B-8E98-4A364170C82D}" destId="{DD4F4F00-8B70-43E8-A48A-5433464BC7B2}" srcOrd="0" destOrd="0" presId="urn:microsoft.com/office/officeart/2005/8/layout/chevron1"/>
    <dgm:cxn modelId="{60E8BAB4-B0D2-2942-8226-941892E36575}" type="presParOf" srcId="{9BB002BF-45B5-447B-8E98-4A364170C82D}" destId="{D0B6A621-AD66-402C-A14F-C228394FD830}" srcOrd="1" destOrd="0" presId="urn:microsoft.com/office/officeart/2005/8/layout/chevron1"/>
    <dgm:cxn modelId="{BD7BFF84-6A4E-824D-9078-7AE305BB4E72}" type="presParOf" srcId="{ABA2DB12-5650-496C-8E9F-B3FF0C87F99F}" destId="{0BB75826-5756-4022-985F-A8E0877150BC}" srcOrd="1" destOrd="0" presId="urn:microsoft.com/office/officeart/2005/8/layout/chevron1"/>
    <dgm:cxn modelId="{6FD8606B-1B68-7840-A717-BC49F94A826A}" type="presParOf" srcId="{ABA2DB12-5650-496C-8E9F-B3FF0C87F99F}" destId="{DB4AA3DF-65E6-4882-AE1C-DE8032A985AF}" srcOrd="2" destOrd="0" presId="urn:microsoft.com/office/officeart/2005/8/layout/chevron1"/>
    <dgm:cxn modelId="{6E5A9816-FA6E-504A-ADEE-75FC43B0CEFD}" type="presParOf" srcId="{DB4AA3DF-65E6-4882-AE1C-DE8032A985AF}" destId="{8191EDF4-5B89-4251-81FC-1871BFAFECA7}" srcOrd="0" destOrd="0" presId="urn:microsoft.com/office/officeart/2005/8/layout/chevron1"/>
    <dgm:cxn modelId="{1C3E96BC-6C3F-834D-AD3C-E53C459F35CD}" type="presParOf" srcId="{DB4AA3DF-65E6-4882-AE1C-DE8032A985AF}" destId="{C2E6E7AD-B883-4899-B360-C815718276B4}" srcOrd="1" destOrd="0" presId="urn:microsoft.com/office/officeart/2005/8/layout/chevron1"/>
    <dgm:cxn modelId="{F02BA86D-16C4-0344-9BDC-E74B564769D5}" type="presParOf" srcId="{ABA2DB12-5650-496C-8E9F-B3FF0C87F99F}" destId="{DF6643BA-A7D1-4113-80DB-3644779D9383}" srcOrd="3" destOrd="0" presId="urn:microsoft.com/office/officeart/2005/8/layout/chevron1"/>
    <dgm:cxn modelId="{0E6BFDC0-D2E3-C042-8797-59F1A9E07A81}" type="presParOf" srcId="{ABA2DB12-5650-496C-8E9F-B3FF0C87F99F}" destId="{C313B15D-4326-4811-AFE9-37A6459E0049}" srcOrd="4" destOrd="0" presId="urn:microsoft.com/office/officeart/2005/8/layout/chevron1"/>
    <dgm:cxn modelId="{82707D40-A049-5740-BA6F-0FD81ACE23EB}" type="presParOf" srcId="{C313B15D-4326-4811-AFE9-37A6459E0049}" destId="{0C87C1BC-37D4-47EB-8B10-FF91E025108A}" srcOrd="0" destOrd="0" presId="urn:microsoft.com/office/officeart/2005/8/layout/chevron1"/>
    <dgm:cxn modelId="{00273E1B-E95A-F948-9482-C7BC17C81443}" type="presParOf" srcId="{C313B15D-4326-4811-AFE9-37A6459E0049}" destId="{ABA9AC45-0480-4EBC-8573-BC32C08FED79}" srcOrd="1" destOrd="0" presId="urn:microsoft.com/office/officeart/2005/8/layout/chevron1"/>
    <dgm:cxn modelId="{19BB6DA8-88FB-1944-8A85-74D9B836E615}" type="presParOf" srcId="{ABA2DB12-5650-496C-8E9F-B3FF0C87F99F}" destId="{719E513B-EB32-46B2-9EA5-36FC9AD205F9}" srcOrd="5" destOrd="0" presId="urn:microsoft.com/office/officeart/2005/8/layout/chevron1"/>
    <dgm:cxn modelId="{58123378-CEBD-4D44-AB4B-43AA348458E1}" type="presParOf" srcId="{ABA2DB12-5650-496C-8E9F-B3FF0C87F99F}" destId="{7386B350-63C0-4F18-96E0-1D64D76B369D}" srcOrd="6" destOrd="0" presId="urn:microsoft.com/office/officeart/2005/8/layout/chevron1"/>
    <dgm:cxn modelId="{AB9D1B3D-78B6-4C4C-A71A-9881DFCA216B}" type="presParOf" srcId="{7386B350-63C0-4F18-96E0-1D64D76B369D}" destId="{384DA0F9-09BC-45C6-826D-FE8B1860896D}" srcOrd="0" destOrd="0" presId="urn:microsoft.com/office/officeart/2005/8/layout/chevron1"/>
    <dgm:cxn modelId="{E9667168-60E0-1C43-9F45-23F060225ECD}" type="presParOf" srcId="{7386B350-63C0-4F18-96E0-1D64D76B369D}" destId="{A2775510-E6AB-42B1-B2BC-030625AB558C}" srcOrd="1" destOrd="0" presId="urn:microsoft.com/office/officeart/2005/8/layout/chevron1"/>
    <dgm:cxn modelId="{78229A0E-9D89-EC4C-BE52-A938E00337A7}" type="presParOf" srcId="{ABA2DB12-5650-496C-8E9F-B3FF0C87F99F}" destId="{6ED42546-C31E-4676-947F-92FCCDE11371}" srcOrd="7" destOrd="0" presId="urn:microsoft.com/office/officeart/2005/8/layout/chevron1"/>
    <dgm:cxn modelId="{7520253B-0D51-E04C-A808-3C2234313110}" type="presParOf" srcId="{ABA2DB12-5650-496C-8E9F-B3FF0C87F99F}" destId="{E313AFD2-81F3-439B-9891-44BBF2048BAD}" srcOrd="8" destOrd="0" presId="urn:microsoft.com/office/officeart/2005/8/layout/chevron1"/>
    <dgm:cxn modelId="{59E6F6AC-F780-9244-987F-FBB003957A82}" type="presParOf" srcId="{E313AFD2-81F3-439B-9891-44BBF2048BAD}" destId="{E5FC1D80-DC42-4D68-B697-E0B341BBD071}" srcOrd="0" destOrd="0" presId="urn:microsoft.com/office/officeart/2005/8/layout/chevron1"/>
    <dgm:cxn modelId="{75AB88D7-28AC-3940-8455-1CF2EC2585B6}" type="presParOf" srcId="{E313AFD2-81F3-439B-9891-44BBF2048BAD}" destId="{92778F66-4B3F-4127-BE90-18F1F6C30BBB}" srcOrd="1"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F4F00-8B70-43E8-A48A-5433464BC7B2}">
      <dsp:nvSpPr>
        <dsp:cNvPr id="0" name=""/>
        <dsp:cNvSpPr/>
      </dsp:nvSpPr>
      <dsp:spPr>
        <a:xfrm>
          <a:off x="2854" y="89077"/>
          <a:ext cx="1375618" cy="540000"/>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t>Issues</a:t>
          </a:r>
        </a:p>
      </dsp:txBody>
      <dsp:txXfrm>
        <a:off x="272854" y="89077"/>
        <a:ext cx="835618" cy="540000"/>
      </dsp:txXfrm>
    </dsp:sp>
    <dsp:sp modelId="{D0B6A621-AD66-402C-A14F-C228394FD830}">
      <dsp:nvSpPr>
        <dsp:cNvPr id="0" name=""/>
        <dsp:cNvSpPr/>
      </dsp:nvSpPr>
      <dsp:spPr>
        <a:xfrm>
          <a:off x="2854" y="696577"/>
          <a:ext cx="1100494" cy="566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AU" sz="1000" kern="1200"/>
            <a:t>Identify workforce issues</a:t>
          </a:r>
        </a:p>
      </dsp:txBody>
      <dsp:txXfrm>
        <a:off x="2854" y="696577"/>
        <a:ext cx="1100494" cy="566894"/>
      </dsp:txXfrm>
    </dsp:sp>
    <dsp:sp modelId="{8191EDF4-5B89-4251-81FC-1871BFAFECA7}">
      <dsp:nvSpPr>
        <dsp:cNvPr id="0" name=""/>
        <dsp:cNvSpPr/>
      </dsp:nvSpPr>
      <dsp:spPr>
        <a:xfrm>
          <a:off x="1162472" y="89077"/>
          <a:ext cx="1375618" cy="540000"/>
        </a:xfrm>
        <a:prstGeom prst="chevron">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t>Challenges</a:t>
          </a:r>
        </a:p>
      </dsp:txBody>
      <dsp:txXfrm>
        <a:off x="1432472" y="89077"/>
        <a:ext cx="835618" cy="540000"/>
      </dsp:txXfrm>
    </dsp:sp>
    <dsp:sp modelId="{C2E6E7AD-B883-4899-B360-C815718276B4}">
      <dsp:nvSpPr>
        <dsp:cNvPr id="0" name=""/>
        <dsp:cNvSpPr/>
      </dsp:nvSpPr>
      <dsp:spPr>
        <a:xfrm>
          <a:off x="1162472" y="696577"/>
          <a:ext cx="1100494" cy="566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AU" sz="1000" kern="1200"/>
            <a:t>Identify challenges presented by issues</a:t>
          </a:r>
        </a:p>
      </dsp:txBody>
      <dsp:txXfrm>
        <a:off x="1162472" y="696577"/>
        <a:ext cx="1100494" cy="566894"/>
      </dsp:txXfrm>
    </dsp:sp>
    <dsp:sp modelId="{0C87C1BC-37D4-47EB-8B10-FF91E025108A}">
      <dsp:nvSpPr>
        <dsp:cNvPr id="0" name=""/>
        <dsp:cNvSpPr/>
      </dsp:nvSpPr>
      <dsp:spPr>
        <a:xfrm>
          <a:off x="2322090" y="89077"/>
          <a:ext cx="1375618" cy="540000"/>
        </a:xfrm>
        <a:prstGeom prst="chevron">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t>Strategies</a:t>
          </a:r>
        </a:p>
      </dsp:txBody>
      <dsp:txXfrm>
        <a:off x="2592090" y="89077"/>
        <a:ext cx="835618" cy="540000"/>
      </dsp:txXfrm>
    </dsp:sp>
    <dsp:sp modelId="{ABA9AC45-0480-4EBC-8573-BC32C08FED79}">
      <dsp:nvSpPr>
        <dsp:cNvPr id="0" name=""/>
        <dsp:cNvSpPr/>
      </dsp:nvSpPr>
      <dsp:spPr>
        <a:xfrm>
          <a:off x="2322090" y="696577"/>
          <a:ext cx="1100494" cy="566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AU" sz="1000" kern="1200"/>
            <a:t>Develop strategies to resolve challenges</a:t>
          </a:r>
        </a:p>
      </dsp:txBody>
      <dsp:txXfrm>
        <a:off x="2322090" y="696577"/>
        <a:ext cx="1100494" cy="566894"/>
      </dsp:txXfrm>
    </dsp:sp>
    <dsp:sp modelId="{384DA0F9-09BC-45C6-826D-FE8B1860896D}">
      <dsp:nvSpPr>
        <dsp:cNvPr id="0" name=""/>
        <dsp:cNvSpPr/>
      </dsp:nvSpPr>
      <dsp:spPr>
        <a:xfrm>
          <a:off x="3481709" y="89077"/>
          <a:ext cx="1375618" cy="540000"/>
        </a:xfrm>
        <a:prstGeom prst="chevron">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t>Actions</a:t>
          </a:r>
        </a:p>
      </dsp:txBody>
      <dsp:txXfrm>
        <a:off x="3751709" y="89077"/>
        <a:ext cx="835618" cy="540000"/>
      </dsp:txXfrm>
    </dsp:sp>
    <dsp:sp modelId="{A2775510-E6AB-42B1-B2BC-030625AB558C}">
      <dsp:nvSpPr>
        <dsp:cNvPr id="0" name=""/>
        <dsp:cNvSpPr/>
      </dsp:nvSpPr>
      <dsp:spPr>
        <a:xfrm>
          <a:off x="3481709" y="696577"/>
          <a:ext cx="1100494" cy="566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AU" sz="1000" kern="1200"/>
            <a:t>Develop actions and their responsibilities and timelines</a:t>
          </a:r>
        </a:p>
      </dsp:txBody>
      <dsp:txXfrm>
        <a:off x="3481709" y="696577"/>
        <a:ext cx="1100494" cy="566894"/>
      </dsp:txXfrm>
    </dsp:sp>
    <dsp:sp modelId="{E5FC1D80-DC42-4D68-B697-E0B341BBD071}">
      <dsp:nvSpPr>
        <dsp:cNvPr id="0" name=""/>
        <dsp:cNvSpPr/>
      </dsp:nvSpPr>
      <dsp:spPr>
        <a:xfrm>
          <a:off x="4641327" y="89077"/>
          <a:ext cx="1375618" cy="540000"/>
        </a:xfrm>
        <a:prstGeom prst="chevron">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t>Workforce Development Plan</a:t>
          </a:r>
        </a:p>
      </dsp:txBody>
      <dsp:txXfrm>
        <a:off x="4911327" y="89077"/>
        <a:ext cx="835618" cy="540000"/>
      </dsp:txXfrm>
    </dsp:sp>
    <dsp:sp modelId="{92778F66-4B3F-4127-BE90-18F1F6C30BBB}">
      <dsp:nvSpPr>
        <dsp:cNvPr id="0" name=""/>
        <dsp:cNvSpPr/>
      </dsp:nvSpPr>
      <dsp:spPr>
        <a:xfrm>
          <a:off x="4641327" y="696577"/>
          <a:ext cx="1100494" cy="566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AU" sz="1000" kern="1200"/>
            <a:t>Document in WDP and gain stakeholder agreement</a:t>
          </a:r>
        </a:p>
      </dsp:txBody>
      <dsp:txXfrm>
        <a:off x="4641327" y="696577"/>
        <a:ext cx="1100494" cy="5668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F220-72E2-48C9-BD8D-269A6CBF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badged document 271117</Template>
  <TotalTime>276</TotalTime>
  <Pages>18</Pages>
  <Words>4370</Words>
  <Characters>28040</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Tasmanian Mining Industry Workforce Development Plan 2019-2022</vt:lpstr>
    </vt:vector>
  </TitlesOfParts>
  <Company>Smith Industries</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Mining Industry Workforce Development Plan 2019-2022</dc:title>
  <dc:subject>Final Report</dc:subject>
  <dc:creator>Sam Waterhouse</dc:creator>
  <cp:keywords/>
  <cp:lastModifiedBy>Sam Waterhouse</cp:lastModifiedBy>
  <cp:revision>25</cp:revision>
  <cp:lastPrinted>2019-11-21T03:02:00Z</cp:lastPrinted>
  <dcterms:created xsi:type="dcterms:W3CDTF">2019-11-10T21:43:00Z</dcterms:created>
  <dcterms:modified xsi:type="dcterms:W3CDTF">2019-11-21T03:03:00Z</dcterms:modified>
</cp:coreProperties>
</file>